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B21" w:rsidRDefault="00540B21" w:rsidP="00540B21">
      <w:pPr>
        <w:autoSpaceDE w:val="0"/>
        <w:autoSpaceDN w:val="0"/>
        <w:adjustRightInd w:val="0"/>
        <w:spacing w:after="0" w:line="240" w:lineRule="auto"/>
        <w:rPr>
          <w:rFonts w:ascii="Trebuchet MS" w:hAnsi="Trebuchet MS" w:cs="Calibri"/>
          <w:b/>
          <w:sz w:val="36"/>
          <w:szCs w:val="36"/>
        </w:rPr>
      </w:pPr>
      <w:bookmarkStart w:id="0" w:name="_GoBack"/>
      <w:bookmarkEnd w:id="0"/>
      <w:r>
        <w:rPr>
          <w:rFonts w:ascii="Trebuchet MS" w:hAnsi="Trebuchet MS" w:cs="Calibri"/>
          <w:b/>
          <w:sz w:val="36"/>
          <w:szCs w:val="36"/>
        </w:rPr>
        <w:t>Authors and their papers: a guidance sheet for</w:t>
      </w:r>
      <w:r w:rsidR="0004513A">
        <w:rPr>
          <w:rFonts w:ascii="Trebuchet MS" w:hAnsi="Trebuchet MS" w:cs="Calibri"/>
          <w:b/>
          <w:sz w:val="36"/>
          <w:szCs w:val="36"/>
        </w:rPr>
        <w:t xml:space="preserve"> </w:t>
      </w:r>
      <w:r w:rsidR="00923B00">
        <w:rPr>
          <w:rFonts w:ascii="Trebuchet MS" w:hAnsi="Trebuchet MS" w:cs="Calibri"/>
          <w:b/>
          <w:sz w:val="36"/>
          <w:szCs w:val="36"/>
        </w:rPr>
        <w:t>authors and writers</w:t>
      </w:r>
    </w:p>
    <w:p w:rsidR="00540B21" w:rsidRDefault="00540B21" w:rsidP="00540B21">
      <w:pPr>
        <w:autoSpaceDE w:val="0"/>
        <w:autoSpaceDN w:val="0"/>
        <w:adjustRightInd w:val="0"/>
        <w:spacing w:after="0" w:line="240" w:lineRule="auto"/>
        <w:rPr>
          <w:rFonts w:ascii="Trebuchet MS" w:hAnsi="Trebuchet MS" w:cs="Calibri"/>
        </w:rPr>
      </w:pPr>
    </w:p>
    <w:p w:rsidR="00540B21" w:rsidRDefault="00540B21" w:rsidP="00540B21">
      <w:pPr>
        <w:autoSpaceDE w:val="0"/>
        <w:autoSpaceDN w:val="0"/>
        <w:adjustRightInd w:val="0"/>
        <w:spacing w:after="0" w:line="240" w:lineRule="auto"/>
        <w:rPr>
          <w:rFonts w:ascii="Trebuchet MS" w:hAnsi="Trebuchet MS" w:cs="Calibri"/>
          <w:b/>
        </w:rPr>
      </w:pPr>
    </w:p>
    <w:p w:rsidR="00540B21" w:rsidRDefault="00540B21" w:rsidP="00540B21">
      <w:pPr>
        <w:autoSpaceDE w:val="0"/>
        <w:autoSpaceDN w:val="0"/>
        <w:adjustRightInd w:val="0"/>
        <w:spacing w:after="0" w:line="240" w:lineRule="auto"/>
        <w:rPr>
          <w:rFonts w:ascii="Trebuchet MS" w:hAnsi="Trebuchet MS" w:cs="Calibri"/>
        </w:rPr>
      </w:pPr>
      <w:r>
        <w:rPr>
          <w:rFonts w:ascii="Trebuchet MS" w:hAnsi="Trebuchet MS" w:cs="Calibri"/>
          <w:b/>
        </w:rPr>
        <w:t>1. Rationale.</w:t>
      </w:r>
      <w:r>
        <w:rPr>
          <w:rFonts w:ascii="Trebuchet MS" w:hAnsi="Trebuchet MS" w:cs="Calibri"/>
        </w:rPr>
        <w:t xml:space="preserve">  Authors’ literary papers are precious to cultural heritage and to scholarship, </w:t>
      </w:r>
      <w:r w:rsidR="00923B00">
        <w:rPr>
          <w:rFonts w:ascii="Trebuchet MS" w:hAnsi="Trebuchet MS" w:cs="Calibri"/>
        </w:rPr>
        <w:t xml:space="preserve">and many have wider popular appeal. They inform </w:t>
      </w:r>
      <w:r>
        <w:rPr>
          <w:rFonts w:ascii="Trebuchet MS" w:hAnsi="Trebuchet MS" w:cs="Calibri"/>
        </w:rPr>
        <w:t>literary and biographical studies, textual studies</w:t>
      </w:r>
      <w:r w:rsidR="00923B00">
        <w:rPr>
          <w:rFonts w:ascii="Trebuchet MS" w:hAnsi="Trebuchet MS" w:cs="Calibri"/>
        </w:rPr>
        <w:t xml:space="preserve">, </w:t>
      </w:r>
      <w:r>
        <w:rPr>
          <w:rFonts w:ascii="Trebuchet MS" w:hAnsi="Trebuchet MS" w:cs="Calibri"/>
        </w:rPr>
        <w:t>cognitive studies</w:t>
      </w:r>
      <w:r w:rsidR="00923B00">
        <w:rPr>
          <w:rFonts w:ascii="Trebuchet MS" w:hAnsi="Trebuchet MS" w:cs="Calibri"/>
        </w:rPr>
        <w:t>, and many areas of research</w:t>
      </w:r>
      <w:r>
        <w:rPr>
          <w:rFonts w:ascii="Trebuchet MS" w:hAnsi="Trebuchet MS" w:cs="Calibri"/>
        </w:rPr>
        <w:t>. Above all, they are precious because of the information they provide about the creative process and what influences this, recording successive versions, drafts and variations. The preservation of these papers in public institutions will be welcomed by a wide range of users, in various fields of education, lifelong learning, biographical and cultural research and the creative arts</w:t>
      </w:r>
      <w:r w:rsidR="00923B00">
        <w:rPr>
          <w:rFonts w:ascii="Trebuchet MS" w:hAnsi="Trebuchet MS" w:cs="Calibri"/>
        </w:rPr>
        <w:t>, and the wider public</w:t>
      </w:r>
      <w:r>
        <w:rPr>
          <w:rFonts w:ascii="Trebuchet MS" w:hAnsi="Trebuchet MS" w:cs="Calibri"/>
        </w:rPr>
        <w:t xml:space="preserve">. </w:t>
      </w:r>
      <w:r w:rsidR="00923B00">
        <w:rPr>
          <w:rFonts w:ascii="Trebuchet MS" w:hAnsi="Trebuchet MS" w:cs="Calibri"/>
        </w:rPr>
        <w:t>A</w:t>
      </w:r>
      <w:r>
        <w:rPr>
          <w:rFonts w:ascii="Trebuchet MS" w:hAnsi="Trebuchet MS" w:cs="Calibri"/>
        </w:rPr>
        <w:t xml:space="preserve">uthors are encouraged to think in terms of each </w:t>
      </w:r>
      <w:r w:rsidR="00923B00">
        <w:rPr>
          <w:rFonts w:ascii="Trebuchet MS" w:hAnsi="Trebuchet MS" w:cs="Calibri"/>
        </w:rPr>
        <w:t xml:space="preserve">literary </w:t>
      </w:r>
      <w:r>
        <w:rPr>
          <w:rFonts w:ascii="Trebuchet MS" w:hAnsi="Trebuchet MS" w:cs="Calibri"/>
        </w:rPr>
        <w:t>work as passing through several archival stages</w:t>
      </w:r>
      <w:r w:rsidR="00923B00">
        <w:rPr>
          <w:rFonts w:ascii="Trebuchet MS" w:hAnsi="Trebuchet MS" w:cs="Calibri"/>
        </w:rPr>
        <w:t xml:space="preserve"> of development</w:t>
      </w:r>
      <w:r>
        <w:rPr>
          <w:rFonts w:ascii="Trebuchet MS" w:hAnsi="Trebuchet MS" w:cs="Calibri"/>
        </w:rPr>
        <w:t xml:space="preserve"> and to seek to preserve each stage.  </w:t>
      </w:r>
      <w:r w:rsidR="00DA7DE4">
        <w:rPr>
          <w:rFonts w:ascii="Trebuchet MS" w:hAnsi="Trebuchet MS" w:cs="Calibri"/>
        </w:rPr>
        <w:t>When this guidance refers to ‘papers’ this means all of the materials relating to an author’s working life, in whatever format – paper or digital, or audiovisual.</w:t>
      </w:r>
      <w:r>
        <w:rPr>
          <w:rFonts w:ascii="Trebuchet MS" w:hAnsi="Trebuchet MS" w:cs="Calibri"/>
        </w:rPr>
        <w:t xml:space="preserve">  </w:t>
      </w:r>
    </w:p>
    <w:p w:rsidR="00540B21" w:rsidRDefault="00540B21" w:rsidP="00540B21"/>
    <w:p w:rsidR="00923B00" w:rsidRDefault="00540B21" w:rsidP="00540B21">
      <w:pPr>
        <w:tabs>
          <w:tab w:val="left" w:pos="426"/>
        </w:tabs>
        <w:autoSpaceDE w:val="0"/>
        <w:autoSpaceDN w:val="0"/>
        <w:adjustRightInd w:val="0"/>
        <w:spacing w:after="0" w:line="240" w:lineRule="auto"/>
        <w:rPr>
          <w:rFonts w:ascii="Trebuchet MS" w:hAnsi="Trebuchet MS" w:cs="Calibri"/>
        </w:rPr>
      </w:pPr>
      <w:r>
        <w:rPr>
          <w:rFonts w:ascii="Trebuchet MS" w:hAnsi="Trebuchet MS" w:cs="Calibri"/>
          <w:b/>
        </w:rPr>
        <w:t xml:space="preserve">2. What to keep.  </w:t>
      </w:r>
      <w:r>
        <w:rPr>
          <w:rFonts w:ascii="Trebuchet MS" w:hAnsi="Trebuchet MS" w:cs="Calibri"/>
        </w:rPr>
        <w:t xml:space="preserve">Authors may often be tempted to destroy early plans and discarded drafts. </w:t>
      </w:r>
      <w:r w:rsidR="00923B00">
        <w:rPr>
          <w:rFonts w:ascii="Trebuchet MS" w:hAnsi="Trebuchet MS" w:cs="Calibri"/>
        </w:rPr>
        <w:t>These should be kept wherever</w:t>
      </w:r>
      <w:r>
        <w:rPr>
          <w:rFonts w:ascii="Trebuchet MS" w:hAnsi="Trebuchet MS" w:cs="Calibri"/>
        </w:rPr>
        <w:t xml:space="preserve"> possible. Libraries and archives are interested in collecting early drafts, notebooks, handwritten and typescript versions, working notes, study notes and research </w:t>
      </w:r>
      <w:r w:rsidR="00923B00">
        <w:rPr>
          <w:rFonts w:ascii="Trebuchet MS" w:hAnsi="Trebuchet MS" w:cs="Calibri"/>
        </w:rPr>
        <w:t>material in any format</w:t>
      </w:r>
      <w:r>
        <w:rPr>
          <w:rFonts w:ascii="Trebuchet MS" w:hAnsi="Trebuchet MS" w:cs="Calibri"/>
        </w:rPr>
        <w:t>.  In addition, there is an interest which extends beyond literary research</w:t>
      </w:r>
      <w:r w:rsidR="00923B00">
        <w:rPr>
          <w:rFonts w:ascii="Trebuchet MS" w:hAnsi="Trebuchet MS" w:cs="Calibri"/>
        </w:rPr>
        <w:t>:</w:t>
      </w:r>
    </w:p>
    <w:p w:rsidR="00923B00" w:rsidRDefault="00540B21" w:rsidP="0004513A">
      <w:pPr>
        <w:pStyle w:val="ListParagraph"/>
        <w:numPr>
          <w:ilvl w:val="0"/>
          <w:numId w:val="1"/>
        </w:numPr>
        <w:tabs>
          <w:tab w:val="left" w:pos="426"/>
        </w:tabs>
        <w:autoSpaceDE w:val="0"/>
        <w:autoSpaceDN w:val="0"/>
        <w:adjustRightInd w:val="0"/>
        <w:spacing w:after="0" w:line="240" w:lineRule="auto"/>
        <w:rPr>
          <w:rFonts w:ascii="Trebuchet MS" w:hAnsi="Trebuchet MS" w:cs="Calibri"/>
        </w:rPr>
      </w:pPr>
      <w:r w:rsidRPr="0004513A">
        <w:rPr>
          <w:rFonts w:ascii="Trebuchet MS" w:hAnsi="Trebuchet MS" w:cs="Calibri"/>
        </w:rPr>
        <w:t>in correspondence</w:t>
      </w:r>
      <w:r w:rsidR="00923B00">
        <w:rPr>
          <w:rFonts w:ascii="Trebuchet MS" w:hAnsi="Trebuchet MS" w:cs="Calibri"/>
        </w:rPr>
        <w:t>:</w:t>
      </w:r>
      <w:r w:rsidR="0004513A">
        <w:rPr>
          <w:rFonts w:ascii="Trebuchet MS" w:hAnsi="Trebuchet MS" w:cs="Calibri"/>
        </w:rPr>
        <w:t xml:space="preserve"> </w:t>
      </w:r>
      <w:r w:rsidRPr="0004513A">
        <w:rPr>
          <w:rFonts w:ascii="Trebuchet MS" w:hAnsi="Trebuchet MS" w:cs="Calibri"/>
        </w:rPr>
        <w:t>both in</w:t>
      </w:r>
      <w:r w:rsidR="00923B00" w:rsidRPr="0004513A">
        <w:rPr>
          <w:rFonts w:ascii="Trebuchet MS" w:hAnsi="Trebuchet MS" w:cs="Calibri"/>
        </w:rPr>
        <w:t xml:space="preserve">coming </w:t>
      </w:r>
      <w:r w:rsidRPr="0004513A">
        <w:rPr>
          <w:rFonts w:ascii="Trebuchet MS" w:hAnsi="Trebuchet MS" w:cs="Calibri"/>
        </w:rPr>
        <w:t>mail and drafts and copies of out</w:t>
      </w:r>
      <w:r w:rsidR="00923B00" w:rsidRPr="0004513A">
        <w:rPr>
          <w:rFonts w:ascii="Trebuchet MS" w:hAnsi="Trebuchet MS" w:cs="Calibri"/>
        </w:rPr>
        <w:t xml:space="preserve">going </w:t>
      </w:r>
      <w:r w:rsidRPr="0004513A">
        <w:rPr>
          <w:rFonts w:ascii="Trebuchet MS" w:hAnsi="Trebuchet MS" w:cs="Calibri"/>
        </w:rPr>
        <w:t>mail; both personal and professional correspondence;</w:t>
      </w:r>
    </w:p>
    <w:p w:rsidR="00923B00" w:rsidRDefault="00540B21" w:rsidP="0004513A">
      <w:pPr>
        <w:pStyle w:val="ListParagraph"/>
        <w:numPr>
          <w:ilvl w:val="0"/>
          <w:numId w:val="1"/>
        </w:numPr>
        <w:tabs>
          <w:tab w:val="left" w:pos="426"/>
        </w:tabs>
        <w:autoSpaceDE w:val="0"/>
        <w:autoSpaceDN w:val="0"/>
        <w:adjustRightInd w:val="0"/>
        <w:spacing w:after="0" w:line="240" w:lineRule="auto"/>
        <w:rPr>
          <w:rFonts w:ascii="Trebuchet MS" w:hAnsi="Trebuchet MS" w:cs="Calibri"/>
        </w:rPr>
      </w:pPr>
      <w:r w:rsidRPr="0004513A">
        <w:rPr>
          <w:rFonts w:ascii="Trebuchet MS" w:hAnsi="Trebuchet MS" w:cs="Calibri"/>
        </w:rPr>
        <w:t xml:space="preserve">in emails, audio-visual materials (literary and personal), diaries, journals and commonplace books; </w:t>
      </w:r>
    </w:p>
    <w:p w:rsidR="00923B00" w:rsidRDefault="00540B21" w:rsidP="0004513A">
      <w:pPr>
        <w:pStyle w:val="ListParagraph"/>
        <w:numPr>
          <w:ilvl w:val="0"/>
          <w:numId w:val="1"/>
        </w:numPr>
        <w:tabs>
          <w:tab w:val="left" w:pos="426"/>
        </w:tabs>
        <w:autoSpaceDE w:val="0"/>
        <w:autoSpaceDN w:val="0"/>
        <w:adjustRightInd w:val="0"/>
        <w:spacing w:after="0" w:line="240" w:lineRule="auto"/>
        <w:rPr>
          <w:rFonts w:ascii="Trebuchet MS" w:hAnsi="Trebuchet MS" w:cs="Calibri"/>
        </w:rPr>
      </w:pPr>
      <w:r w:rsidRPr="0004513A">
        <w:rPr>
          <w:rFonts w:ascii="Trebuchet MS" w:hAnsi="Trebuchet MS" w:cs="Calibri"/>
        </w:rPr>
        <w:t>in disks, me</w:t>
      </w:r>
      <w:r w:rsidR="0094280A">
        <w:rPr>
          <w:rFonts w:ascii="Trebuchet MS" w:hAnsi="Trebuchet MS" w:cs="Calibri"/>
        </w:rPr>
        <w:t>mory-sticks and computer drives;</w:t>
      </w:r>
      <w:r w:rsidRPr="0004513A">
        <w:rPr>
          <w:rFonts w:ascii="Trebuchet MS" w:hAnsi="Trebuchet MS" w:cs="Calibri"/>
        </w:rPr>
        <w:t xml:space="preserve">  </w:t>
      </w:r>
    </w:p>
    <w:p w:rsidR="00923B00" w:rsidRDefault="00540B21" w:rsidP="0004513A">
      <w:pPr>
        <w:pStyle w:val="ListParagraph"/>
        <w:numPr>
          <w:ilvl w:val="0"/>
          <w:numId w:val="1"/>
        </w:numPr>
        <w:tabs>
          <w:tab w:val="left" w:pos="426"/>
        </w:tabs>
        <w:autoSpaceDE w:val="0"/>
        <w:autoSpaceDN w:val="0"/>
        <w:adjustRightInd w:val="0"/>
        <w:spacing w:after="0" w:line="240" w:lineRule="auto"/>
        <w:rPr>
          <w:rFonts w:ascii="Trebuchet MS" w:hAnsi="Trebuchet MS" w:cs="Calibri"/>
        </w:rPr>
      </w:pPr>
      <w:r w:rsidRPr="0004513A">
        <w:rPr>
          <w:rFonts w:ascii="Trebuchet MS" w:hAnsi="Trebuchet MS" w:cs="Calibri"/>
        </w:rPr>
        <w:t xml:space="preserve">Authors’ personal libraries are also of great interest, </w:t>
      </w:r>
      <w:r w:rsidR="00923B00">
        <w:rPr>
          <w:rFonts w:ascii="Trebuchet MS" w:hAnsi="Trebuchet MS" w:cs="Calibri"/>
        </w:rPr>
        <w:t>especially where</w:t>
      </w:r>
      <w:r w:rsidRPr="0004513A">
        <w:rPr>
          <w:rFonts w:ascii="Trebuchet MS" w:hAnsi="Trebuchet MS" w:cs="Calibri"/>
        </w:rPr>
        <w:t xml:space="preserve"> books and journals are annotated. </w:t>
      </w:r>
    </w:p>
    <w:p w:rsidR="00540B21" w:rsidRPr="0004513A" w:rsidRDefault="00D73370" w:rsidP="00923B00">
      <w:pPr>
        <w:tabs>
          <w:tab w:val="left" w:pos="426"/>
        </w:tabs>
        <w:autoSpaceDE w:val="0"/>
        <w:autoSpaceDN w:val="0"/>
        <w:adjustRightInd w:val="0"/>
        <w:spacing w:after="0" w:line="240" w:lineRule="auto"/>
        <w:rPr>
          <w:rFonts w:ascii="Trebuchet MS" w:hAnsi="Trebuchet MS" w:cs="Calibri"/>
        </w:rPr>
      </w:pPr>
      <w:r>
        <w:rPr>
          <w:rFonts w:ascii="Trebuchet MS" w:hAnsi="Trebuchet MS" w:cs="Calibri"/>
        </w:rPr>
        <w:t xml:space="preserve">All kinds of </w:t>
      </w:r>
      <w:r w:rsidR="00540B21" w:rsidRPr="0004513A">
        <w:rPr>
          <w:rFonts w:ascii="Trebuchet MS" w:hAnsi="Trebuchet MS" w:cs="Calibri"/>
        </w:rPr>
        <w:t xml:space="preserve">materials and correspondence relating to literary festivals, reading tours, conferences, seminars and literary organisations should be regarded as an integral part of any author’s archive. In determining what to keep, authors should bear in mind that, in addition to illustrating the creative literary process, their papers are likely to have a wider cultural and historical interest. If the literary work has been influenced by visual arts, music or other forms of expressive culture then the author’s </w:t>
      </w:r>
      <w:r>
        <w:rPr>
          <w:rFonts w:ascii="Trebuchet MS" w:hAnsi="Trebuchet MS" w:cs="Calibri"/>
        </w:rPr>
        <w:t>information on these</w:t>
      </w:r>
      <w:r w:rsidR="00540B21" w:rsidRPr="0004513A">
        <w:rPr>
          <w:rFonts w:ascii="Trebuchet MS" w:hAnsi="Trebuchet MS" w:cs="Calibri"/>
        </w:rPr>
        <w:t>, programmes of concerts, exhibitions and events would also constitute a vital part of a full “author’s archive”. In short, all the raw material relating to a writer’s life and work is likely to be of interest</w:t>
      </w:r>
      <w:r>
        <w:rPr>
          <w:rFonts w:ascii="Trebuchet MS" w:hAnsi="Trebuchet MS" w:cs="Calibri"/>
        </w:rPr>
        <w:t xml:space="preserve"> to an archive service and to researchers</w:t>
      </w:r>
      <w:r w:rsidR="00540B21" w:rsidRPr="0004513A">
        <w:rPr>
          <w:rFonts w:ascii="Trebuchet MS" w:hAnsi="Trebuchet MS" w:cs="Calibri"/>
        </w:rPr>
        <w:t>.</w:t>
      </w:r>
    </w:p>
    <w:p w:rsidR="00540B21" w:rsidRDefault="00540B21" w:rsidP="00540B21">
      <w:pPr>
        <w:autoSpaceDE w:val="0"/>
        <w:autoSpaceDN w:val="0"/>
        <w:adjustRightInd w:val="0"/>
        <w:spacing w:after="0" w:line="240" w:lineRule="auto"/>
        <w:rPr>
          <w:rFonts w:ascii="Trebuchet MS" w:hAnsi="Trebuchet MS" w:cs="Calibri"/>
        </w:rPr>
      </w:pPr>
    </w:p>
    <w:p w:rsidR="00540B21" w:rsidRDefault="00540B21" w:rsidP="00540B21">
      <w:pPr>
        <w:autoSpaceDE w:val="0"/>
        <w:autoSpaceDN w:val="0"/>
        <w:adjustRightInd w:val="0"/>
        <w:spacing w:after="0" w:line="240" w:lineRule="auto"/>
        <w:rPr>
          <w:rFonts w:ascii="Trebuchet MS" w:hAnsi="Trebuchet MS" w:cs="Calibri"/>
        </w:rPr>
      </w:pPr>
    </w:p>
    <w:p w:rsidR="00540B21" w:rsidRDefault="00540B21" w:rsidP="00540B21">
      <w:pPr>
        <w:autoSpaceDE w:val="0"/>
        <w:autoSpaceDN w:val="0"/>
        <w:adjustRightInd w:val="0"/>
        <w:spacing w:after="0" w:line="240" w:lineRule="auto"/>
        <w:rPr>
          <w:rFonts w:ascii="Trebuchet MS" w:hAnsi="Trebuchet MS" w:cs="Calibri"/>
        </w:rPr>
      </w:pPr>
      <w:r>
        <w:rPr>
          <w:rFonts w:ascii="Trebuchet MS" w:hAnsi="Trebuchet MS" w:cs="Calibri"/>
          <w:b/>
        </w:rPr>
        <w:t>3. Digital records, web</w:t>
      </w:r>
      <w:r w:rsidR="00923B00">
        <w:rPr>
          <w:rFonts w:ascii="Trebuchet MS" w:hAnsi="Trebuchet MS" w:cs="Calibri"/>
          <w:b/>
        </w:rPr>
        <w:t xml:space="preserve"> content</w:t>
      </w:r>
      <w:r>
        <w:rPr>
          <w:rFonts w:ascii="Trebuchet MS" w:hAnsi="Trebuchet MS" w:cs="Calibri"/>
          <w:b/>
        </w:rPr>
        <w:t xml:space="preserve"> and downloads.</w:t>
      </w:r>
      <w:r>
        <w:rPr>
          <w:rFonts w:ascii="Trebuchet MS" w:hAnsi="Trebuchet MS" w:cs="Calibri"/>
        </w:rPr>
        <w:t xml:space="preserve">  Archivists are increasingly aware that much of an author’s archive is likely to be </w:t>
      </w:r>
      <w:r w:rsidR="00923B00">
        <w:rPr>
          <w:rFonts w:ascii="Trebuchet MS" w:hAnsi="Trebuchet MS" w:cs="Calibri"/>
        </w:rPr>
        <w:t xml:space="preserve">created and </w:t>
      </w:r>
      <w:r>
        <w:rPr>
          <w:rFonts w:ascii="Trebuchet MS" w:hAnsi="Trebuchet MS" w:cs="Calibri"/>
        </w:rPr>
        <w:t>stored in digital form. Whilst acknowledging that digital formats may lead to increased privacy concerns for authors, archivists are keen to build collections which include digital records as well as email</w:t>
      </w:r>
      <w:r w:rsidR="00923B00">
        <w:rPr>
          <w:rFonts w:ascii="Trebuchet MS" w:hAnsi="Trebuchet MS" w:cs="Calibri"/>
        </w:rPr>
        <w:t xml:space="preserve"> correspondence and online content</w:t>
      </w:r>
      <w:r>
        <w:rPr>
          <w:rFonts w:ascii="Trebuchet MS" w:hAnsi="Trebuchet MS" w:cs="Calibri"/>
        </w:rPr>
        <w:t>. Personal web</w:t>
      </w:r>
      <w:r w:rsidR="00923B00">
        <w:rPr>
          <w:rFonts w:ascii="Trebuchet MS" w:hAnsi="Trebuchet MS" w:cs="Calibri"/>
        </w:rPr>
        <w:t xml:space="preserve"> browsing histories</w:t>
      </w:r>
      <w:r>
        <w:rPr>
          <w:rFonts w:ascii="Trebuchet MS" w:hAnsi="Trebuchet MS" w:cs="Calibri"/>
        </w:rPr>
        <w:t xml:space="preserve"> are</w:t>
      </w:r>
      <w:r w:rsidR="00D73370">
        <w:rPr>
          <w:rFonts w:ascii="Trebuchet MS" w:hAnsi="Trebuchet MS" w:cs="Calibri"/>
        </w:rPr>
        <w:t xml:space="preserve"> also</w:t>
      </w:r>
      <w:r>
        <w:rPr>
          <w:rFonts w:ascii="Trebuchet MS" w:hAnsi="Trebuchet MS" w:cs="Calibri"/>
        </w:rPr>
        <w:t xml:space="preserve"> important, as are collections of downloads, which may </w:t>
      </w:r>
      <w:r w:rsidR="00923B00">
        <w:rPr>
          <w:rFonts w:ascii="Trebuchet MS" w:hAnsi="Trebuchet MS" w:cs="Calibri"/>
        </w:rPr>
        <w:t xml:space="preserve">be the equivalent of </w:t>
      </w:r>
      <w:r>
        <w:rPr>
          <w:rFonts w:ascii="Trebuchet MS" w:hAnsi="Trebuchet MS" w:cs="Calibri"/>
        </w:rPr>
        <w:t>a 21st-century version of the “author’s library”. Similarly, authors’ professional correspondence is likely to include transactions with companies such as Amazon, Google Books and</w:t>
      </w:r>
      <w:r w:rsidR="00923B00">
        <w:rPr>
          <w:rFonts w:ascii="Trebuchet MS" w:hAnsi="Trebuchet MS" w:cs="Calibri"/>
        </w:rPr>
        <w:t xml:space="preserve">, providers of online services and </w:t>
      </w:r>
      <w:r>
        <w:rPr>
          <w:rFonts w:ascii="Trebuchet MS" w:hAnsi="Trebuchet MS" w:cs="Calibri"/>
        </w:rPr>
        <w:t>cloud-storage.</w:t>
      </w:r>
    </w:p>
    <w:p w:rsidR="00540B21" w:rsidRDefault="00540B21" w:rsidP="00540B21">
      <w:pPr>
        <w:autoSpaceDE w:val="0"/>
        <w:autoSpaceDN w:val="0"/>
        <w:adjustRightInd w:val="0"/>
        <w:spacing w:after="0" w:line="240" w:lineRule="auto"/>
        <w:rPr>
          <w:rFonts w:ascii="Trebuchet MS" w:hAnsi="Trebuchet MS" w:cs="Calibri"/>
        </w:rPr>
      </w:pPr>
    </w:p>
    <w:p w:rsidR="00540B21" w:rsidRDefault="00540B21" w:rsidP="00540B21">
      <w:pPr>
        <w:autoSpaceDE w:val="0"/>
        <w:autoSpaceDN w:val="0"/>
        <w:adjustRightInd w:val="0"/>
        <w:spacing w:after="0" w:line="240" w:lineRule="auto"/>
        <w:rPr>
          <w:rFonts w:ascii="Trebuchet MS" w:hAnsi="Trebuchet MS" w:cs="Calibri"/>
        </w:rPr>
      </w:pPr>
    </w:p>
    <w:p w:rsidR="00540B21" w:rsidRDefault="00540B21" w:rsidP="00540B21">
      <w:pPr>
        <w:autoSpaceDE w:val="0"/>
        <w:autoSpaceDN w:val="0"/>
        <w:adjustRightInd w:val="0"/>
        <w:spacing w:after="0" w:line="240" w:lineRule="auto"/>
        <w:rPr>
          <w:rFonts w:ascii="Trebuchet MS" w:hAnsi="Trebuchet MS" w:cs="Calibri"/>
        </w:rPr>
      </w:pPr>
      <w:r>
        <w:rPr>
          <w:rFonts w:ascii="Trebuchet MS" w:hAnsi="Trebuchet MS" w:cs="Calibri"/>
          <w:b/>
        </w:rPr>
        <w:t>4. How to keep it.</w:t>
      </w:r>
      <w:r>
        <w:rPr>
          <w:rFonts w:ascii="Trebuchet MS" w:hAnsi="Trebuchet MS" w:cs="Calibri"/>
        </w:rPr>
        <w:t xml:space="preserve">  Authors should try to keep these archival materials dry and clean and safe –avoiding lofts</w:t>
      </w:r>
      <w:r w:rsidR="00D73370">
        <w:rPr>
          <w:rFonts w:ascii="Trebuchet MS" w:hAnsi="Trebuchet MS" w:cs="Calibri"/>
        </w:rPr>
        <w:t>,</w:t>
      </w:r>
      <w:r w:rsidR="0004513A">
        <w:rPr>
          <w:rFonts w:ascii="Trebuchet MS" w:hAnsi="Trebuchet MS" w:cs="Calibri"/>
        </w:rPr>
        <w:t xml:space="preserve"> </w:t>
      </w:r>
      <w:r>
        <w:rPr>
          <w:rFonts w:ascii="Trebuchet MS" w:hAnsi="Trebuchet MS" w:cs="Calibri"/>
        </w:rPr>
        <w:t xml:space="preserve">garages and garden sheds, </w:t>
      </w:r>
      <w:r w:rsidR="00D73370">
        <w:rPr>
          <w:rFonts w:ascii="Trebuchet MS" w:hAnsi="Trebuchet MS" w:cs="Calibri"/>
        </w:rPr>
        <w:t xml:space="preserve">because these are at risk from damp, </w:t>
      </w:r>
      <w:r w:rsidR="00D73370">
        <w:rPr>
          <w:rFonts w:ascii="Trebuchet MS" w:hAnsi="Trebuchet MS" w:cs="Calibri"/>
        </w:rPr>
        <w:lastRenderedPageBreak/>
        <w:t xml:space="preserve">changes in temperature, dirt and pest damage. The storage area should be clean, dry and secure. Materials should be stored in acid free boxes and folders. Printed photographs should be stored in archival polyester sleeves. </w:t>
      </w:r>
      <w:r>
        <w:rPr>
          <w:rFonts w:ascii="Trebuchet MS" w:hAnsi="Trebuchet MS" w:cs="Calibri"/>
        </w:rPr>
        <w:t xml:space="preserve">Metal filing cabinets are excellent, if space permits.  Disks and electronic copies should be stored in </w:t>
      </w:r>
      <w:r w:rsidR="00DA7DE4">
        <w:rPr>
          <w:rFonts w:ascii="Trebuchet MS" w:hAnsi="Trebuchet MS" w:cs="Calibri"/>
        </w:rPr>
        <w:t>their original packaging, or other containers designed for that purpose. They should not be stored in drives for long periods of time.</w:t>
      </w:r>
    </w:p>
    <w:p w:rsidR="00540B21" w:rsidRDefault="00540B21" w:rsidP="00540B21">
      <w:pPr>
        <w:autoSpaceDE w:val="0"/>
        <w:autoSpaceDN w:val="0"/>
        <w:adjustRightInd w:val="0"/>
        <w:spacing w:after="0" w:line="240" w:lineRule="auto"/>
        <w:rPr>
          <w:rFonts w:ascii="Trebuchet MS" w:hAnsi="Trebuchet MS" w:cs="Calibri"/>
        </w:rPr>
      </w:pPr>
    </w:p>
    <w:p w:rsidR="00540B21" w:rsidRDefault="00540B21" w:rsidP="00540B21">
      <w:pPr>
        <w:autoSpaceDE w:val="0"/>
        <w:autoSpaceDN w:val="0"/>
        <w:adjustRightInd w:val="0"/>
        <w:spacing w:after="0" w:line="240" w:lineRule="auto"/>
        <w:rPr>
          <w:rFonts w:ascii="Trebuchet MS" w:hAnsi="Trebuchet MS" w:cs="Calibri"/>
        </w:rPr>
      </w:pPr>
    </w:p>
    <w:p w:rsidR="00B44A6E" w:rsidRDefault="00540B21" w:rsidP="00540B21">
      <w:pPr>
        <w:autoSpaceDE w:val="0"/>
        <w:autoSpaceDN w:val="0"/>
        <w:adjustRightInd w:val="0"/>
        <w:spacing w:after="0" w:line="240" w:lineRule="auto"/>
        <w:rPr>
          <w:rFonts w:ascii="Trebuchet MS" w:hAnsi="Trebuchet MS" w:cs="Calibri"/>
        </w:rPr>
      </w:pPr>
      <w:r>
        <w:rPr>
          <w:rFonts w:ascii="Trebuchet MS" w:hAnsi="Trebuchet MS" w:cs="Calibri"/>
          <w:b/>
        </w:rPr>
        <w:t>5. Transferring papers to an archives service: choosing the most appropriate archives.</w:t>
      </w:r>
      <w:r>
        <w:rPr>
          <w:rFonts w:ascii="Trebuchet MS" w:hAnsi="Trebuchet MS" w:cs="Calibri"/>
        </w:rPr>
        <w:t xml:space="preserve"> The choice of repository is a key part of the process, whether the author is donating or depositing.  The recommended practice is to consult a nearby archivist or to check an appropriate Location Register (e.g. </w:t>
      </w:r>
      <w:hyperlink r:id="rId6" w:history="1">
        <w:r>
          <w:rPr>
            <w:rStyle w:val="Hyperlink"/>
            <w:rFonts w:ascii="Trebuchet MS" w:hAnsi="Trebuchet MS" w:cs="Calibri"/>
          </w:rPr>
          <w:t>www.locationregister.com</w:t>
        </w:r>
      </w:hyperlink>
      <w:r w:rsidR="00DA7DE4">
        <w:rPr>
          <w:rStyle w:val="Hyperlink"/>
          <w:rFonts w:ascii="Trebuchet MS" w:hAnsi="Trebuchet MS" w:cs="Calibri"/>
        </w:rPr>
        <w:t xml:space="preserve"> or </w:t>
      </w:r>
      <w:hyperlink r:id="rId7" w:history="1">
        <w:r w:rsidR="00DA7DE4" w:rsidRPr="00DA7DE4">
          <w:rPr>
            <w:rStyle w:val="Hyperlink"/>
            <w:rFonts w:ascii="Trebuchet MS" w:hAnsi="Trebuchet MS" w:cs="Calibri"/>
          </w:rPr>
          <w:t xml:space="preserve">National Register of Archives </w:t>
        </w:r>
      </w:hyperlink>
      <w:r>
        <w:rPr>
          <w:rFonts w:ascii="Trebuchet MS" w:hAnsi="Trebuchet MS" w:cs="Calibri"/>
        </w:rPr>
        <w:t xml:space="preserve">), to </w:t>
      </w:r>
      <w:r w:rsidR="00DA7DE4">
        <w:rPr>
          <w:rFonts w:ascii="Trebuchet MS" w:hAnsi="Trebuchet MS" w:cs="Calibri"/>
        </w:rPr>
        <w:t xml:space="preserve">find out </w:t>
      </w:r>
      <w:r>
        <w:rPr>
          <w:rFonts w:ascii="Trebuchet MS" w:hAnsi="Trebuchet MS" w:cs="Calibri"/>
        </w:rPr>
        <w:t>which institutions already have collections of similar materials</w:t>
      </w:r>
      <w:r w:rsidR="00DA7DE4">
        <w:rPr>
          <w:rFonts w:ascii="Trebuchet MS" w:hAnsi="Trebuchet MS" w:cs="Calibri"/>
        </w:rPr>
        <w:t xml:space="preserve">. </w:t>
      </w:r>
      <w:r w:rsidR="00B44A6E">
        <w:rPr>
          <w:rFonts w:ascii="Trebuchet MS" w:hAnsi="Trebuchet MS" w:cs="Calibri"/>
        </w:rPr>
        <w:t xml:space="preserve">The Literary digest on the Accessions to Repositories survey provides information on collections taken in by archives each year: </w:t>
      </w:r>
      <w:hyperlink r:id="rId8" w:history="1">
        <w:r w:rsidR="00B44A6E" w:rsidRPr="002D0A09">
          <w:rPr>
            <w:rStyle w:val="Hyperlink"/>
            <w:rFonts w:ascii="Trebuchet MS" w:hAnsi="Trebuchet MS" w:cs="Calibri"/>
          </w:rPr>
          <w:t>http://www.nationalarchives.gov.uk/accessions/</w:t>
        </w:r>
      </w:hyperlink>
    </w:p>
    <w:p w:rsidR="00540B21" w:rsidRDefault="00DA7DE4" w:rsidP="00540B21">
      <w:pPr>
        <w:autoSpaceDE w:val="0"/>
        <w:autoSpaceDN w:val="0"/>
        <w:adjustRightInd w:val="0"/>
        <w:spacing w:after="0" w:line="240" w:lineRule="auto"/>
        <w:rPr>
          <w:rFonts w:ascii="Trebuchet MS" w:hAnsi="Trebuchet MS" w:cs="Calibri"/>
        </w:rPr>
      </w:pPr>
      <w:r>
        <w:rPr>
          <w:rFonts w:ascii="Trebuchet MS" w:hAnsi="Trebuchet MS" w:cs="Calibri"/>
        </w:rPr>
        <w:t>Authors can</w:t>
      </w:r>
      <w:r w:rsidR="00540B21">
        <w:rPr>
          <w:rFonts w:ascii="Trebuchet MS" w:hAnsi="Trebuchet MS" w:cs="Calibri"/>
        </w:rPr>
        <w:t xml:space="preserve"> consult with interested organisations such as GLAM (the Group for Literary Archives and Manuscripts)</w:t>
      </w:r>
      <w:r>
        <w:rPr>
          <w:rFonts w:ascii="Trebuchet MS" w:hAnsi="Trebuchet MS" w:cs="Calibri"/>
        </w:rPr>
        <w:t>,</w:t>
      </w:r>
      <w:r w:rsidR="0004513A">
        <w:rPr>
          <w:rFonts w:ascii="Trebuchet MS" w:hAnsi="Trebuchet MS" w:cs="Calibri"/>
        </w:rPr>
        <w:t xml:space="preserve"> </w:t>
      </w:r>
      <w:r w:rsidR="00540B21">
        <w:rPr>
          <w:rFonts w:ascii="Trebuchet MS" w:hAnsi="Trebuchet MS" w:cs="Calibri"/>
        </w:rPr>
        <w:t>the Society of Authors</w:t>
      </w:r>
      <w:r>
        <w:rPr>
          <w:rFonts w:ascii="Trebuchet MS" w:hAnsi="Trebuchet MS" w:cs="Calibri"/>
        </w:rPr>
        <w:t>, or Archive Sector Development at the National Archives</w:t>
      </w:r>
      <w:r w:rsidR="00540B21">
        <w:rPr>
          <w:rFonts w:ascii="Trebuchet MS" w:hAnsi="Trebuchet MS" w:cs="Calibri"/>
        </w:rPr>
        <w:t xml:space="preserve">. Authors should take time to ensure that they make the right choice of </w:t>
      </w:r>
      <w:r>
        <w:rPr>
          <w:rFonts w:ascii="Trebuchet MS" w:hAnsi="Trebuchet MS" w:cs="Calibri"/>
        </w:rPr>
        <w:t>archive service for donation or deposit</w:t>
      </w:r>
      <w:r w:rsidR="00540B21">
        <w:rPr>
          <w:rFonts w:ascii="Trebuchet MS" w:hAnsi="Trebuchet MS" w:cs="Calibri"/>
        </w:rPr>
        <w:t xml:space="preserve">, and this may require a period of negotiation and discussion.  It is important that there is sympathy and synergy between the author’s collection and the archival institution which will be responsible for its care and promotion. Seeking to change </w:t>
      </w:r>
      <w:r w:rsidR="00B44A6E">
        <w:rPr>
          <w:rFonts w:ascii="Trebuchet MS" w:hAnsi="Trebuchet MS" w:cs="Calibri"/>
        </w:rPr>
        <w:t xml:space="preserve">archive service </w:t>
      </w:r>
      <w:r w:rsidR="00540B21">
        <w:rPr>
          <w:rFonts w:ascii="Trebuchet MS" w:hAnsi="Trebuchet MS" w:cs="Calibri"/>
        </w:rPr>
        <w:t xml:space="preserve">once the process is underway can be </w:t>
      </w:r>
      <w:r>
        <w:rPr>
          <w:rFonts w:ascii="Trebuchet MS" w:hAnsi="Trebuchet MS" w:cs="Calibri"/>
        </w:rPr>
        <w:t xml:space="preserve">a </w:t>
      </w:r>
      <w:r w:rsidR="00540B21">
        <w:rPr>
          <w:rFonts w:ascii="Trebuchet MS" w:hAnsi="Trebuchet MS" w:cs="Calibri"/>
        </w:rPr>
        <w:t xml:space="preserve">difficult </w:t>
      </w:r>
      <w:r>
        <w:rPr>
          <w:rFonts w:ascii="Trebuchet MS" w:hAnsi="Trebuchet MS" w:cs="Calibri"/>
        </w:rPr>
        <w:t>process</w:t>
      </w:r>
      <w:r w:rsidR="00540B21">
        <w:rPr>
          <w:rFonts w:ascii="Trebuchet MS" w:hAnsi="Trebuchet MS" w:cs="Calibri"/>
        </w:rPr>
        <w:t>.</w:t>
      </w:r>
    </w:p>
    <w:p w:rsidR="00540B21" w:rsidRDefault="00540B21" w:rsidP="00540B21">
      <w:pPr>
        <w:autoSpaceDE w:val="0"/>
        <w:autoSpaceDN w:val="0"/>
        <w:adjustRightInd w:val="0"/>
        <w:spacing w:after="0" w:line="240" w:lineRule="auto"/>
        <w:rPr>
          <w:rFonts w:ascii="Trebuchet MS" w:hAnsi="Trebuchet MS" w:cs="Calibri"/>
        </w:rPr>
      </w:pPr>
    </w:p>
    <w:p w:rsidR="00540B21" w:rsidRDefault="00540B21" w:rsidP="00540B21">
      <w:pPr>
        <w:autoSpaceDE w:val="0"/>
        <w:autoSpaceDN w:val="0"/>
        <w:adjustRightInd w:val="0"/>
        <w:spacing w:after="0" w:line="240" w:lineRule="auto"/>
        <w:rPr>
          <w:rFonts w:ascii="Trebuchet MS" w:hAnsi="Trebuchet MS" w:cs="Calibri"/>
        </w:rPr>
      </w:pPr>
    </w:p>
    <w:p w:rsidR="00DA7DE4" w:rsidRDefault="00540B21" w:rsidP="00540B21">
      <w:pPr>
        <w:pStyle w:val="NormalWeb"/>
        <w:rPr>
          <w:rFonts w:ascii="Trebuchet MS" w:hAnsi="Trebuchet MS" w:cs="Tahoma"/>
          <w:color w:val="000000"/>
          <w:sz w:val="22"/>
          <w:szCs w:val="22"/>
        </w:rPr>
      </w:pPr>
      <w:r>
        <w:rPr>
          <w:rFonts w:ascii="Trebuchet MS" w:hAnsi="Trebuchet MS" w:cs="Calibri"/>
          <w:b/>
          <w:sz w:val="22"/>
          <w:szCs w:val="22"/>
        </w:rPr>
        <w:t xml:space="preserve">6. Transferring papers to an archives service: gift, </w:t>
      </w:r>
      <w:r w:rsidR="0004513A">
        <w:rPr>
          <w:rFonts w:ascii="Trebuchet MS" w:hAnsi="Trebuchet MS" w:cs="Calibri"/>
          <w:b/>
          <w:sz w:val="22"/>
          <w:szCs w:val="22"/>
        </w:rPr>
        <w:t>bequest,</w:t>
      </w:r>
      <w:r>
        <w:rPr>
          <w:rFonts w:ascii="Trebuchet MS" w:hAnsi="Trebuchet MS" w:cs="Calibri"/>
          <w:b/>
          <w:sz w:val="22"/>
          <w:szCs w:val="22"/>
        </w:rPr>
        <w:t xml:space="preserve"> permanent loan or deposit</w:t>
      </w:r>
      <w:r>
        <w:rPr>
          <w:rFonts w:ascii="Trebuchet MS" w:hAnsi="Trebuchet MS" w:cs="Calibri"/>
          <w:sz w:val="22"/>
          <w:szCs w:val="22"/>
        </w:rPr>
        <w:t xml:space="preserve">.  </w:t>
      </w:r>
      <w:r>
        <w:rPr>
          <w:rFonts w:ascii="Trebuchet MS" w:hAnsi="Trebuchet MS" w:cs="Tahoma"/>
          <w:color w:val="000000"/>
          <w:sz w:val="22"/>
          <w:szCs w:val="22"/>
        </w:rPr>
        <w:t xml:space="preserve">There should be a deed of gift, bequest or deposit, covering all the following points. Gift is </w:t>
      </w:r>
      <w:r w:rsidR="00DA7DE4">
        <w:rPr>
          <w:rFonts w:ascii="Trebuchet MS" w:hAnsi="Trebuchet MS" w:cs="Tahoma"/>
          <w:color w:val="000000"/>
          <w:sz w:val="22"/>
          <w:szCs w:val="22"/>
        </w:rPr>
        <w:t xml:space="preserve">a better long-term solution </w:t>
      </w:r>
      <w:r>
        <w:rPr>
          <w:rFonts w:ascii="Trebuchet MS" w:hAnsi="Trebuchet MS" w:cs="Tahoma"/>
          <w:color w:val="000000"/>
          <w:sz w:val="22"/>
          <w:szCs w:val="22"/>
        </w:rPr>
        <w:t xml:space="preserve">than temporary deposit. If a loan or deposit is made the repository may expect a contract including reimbursement for sorting, cataloguing and storage, and right of first refusal in the event of withdrawal and </w:t>
      </w:r>
      <w:r w:rsidR="00DA7DE4">
        <w:rPr>
          <w:rFonts w:ascii="Trebuchet MS" w:hAnsi="Trebuchet MS" w:cs="Tahoma"/>
          <w:color w:val="000000"/>
          <w:sz w:val="22"/>
          <w:szCs w:val="22"/>
        </w:rPr>
        <w:t xml:space="preserve">/ or </w:t>
      </w:r>
      <w:r>
        <w:rPr>
          <w:rFonts w:ascii="Trebuchet MS" w:hAnsi="Trebuchet MS" w:cs="Tahoma"/>
          <w:color w:val="000000"/>
          <w:sz w:val="22"/>
          <w:szCs w:val="22"/>
        </w:rPr>
        <w:t>sale. Although financial considerations may be paramount, often they are not.</w:t>
      </w:r>
    </w:p>
    <w:p w:rsidR="00540B21" w:rsidRDefault="00540B21" w:rsidP="0004513A">
      <w:pPr>
        <w:pStyle w:val="NormalWeb"/>
        <w:rPr>
          <w:rFonts w:ascii="Trebuchet MS" w:hAnsi="Trebuchet MS"/>
        </w:rPr>
      </w:pPr>
      <w:r>
        <w:rPr>
          <w:rFonts w:ascii="Trebuchet MS" w:hAnsi="Trebuchet MS" w:cs="Tahoma"/>
          <w:color w:val="000000"/>
          <w:sz w:val="22"/>
          <w:szCs w:val="22"/>
        </w:rPr>
        <w:t xml:space="preserve">Gift (or </w:t>
      </w:r>
      <w:r w:rsidR="00B44A6E">
        <w:rPr>
          <w:rFonts w:ascii="Trebuchet MS" w:hAnsi="Trebuchet MS" w:cs="Tahoma"/>
          <w:color w:val="000000"/>
          <w:sz w:val="22"/>
          <w:szCs w:val="22"/>
        </w:rPr>
        <w:t xml:space="preserve">where appropriate, </w:t>
      </w:r>
      <w:r>
        <w:rPr>
          <w:rFonts w:ascii="Trebuchet MS" w:hAnsi="Trebuchet MS" w:cs="Tahoma"/>
          <w:color w:val="000000"/>
          <w:sz w:val="22"/>
          <w:szCs w:val="22"/>
        </w:rPr>
        <w:t xml:space="preserve">sale below probable market value) may </w:t>
      </w:r>
      <w:r w:rsidR="00B44A6E">
        <w:rPr>
          <w:rFonts w:ascii="Trebuchet MS" w:hAnsi="Trebuchet MS" w:cs="Tahoma"/>
          <w:color w:val="000000"/>
          <w:sz w:val="22"/>
          <w:szCs w:val="22"/>
        </w:rPr>
        <w:t xml:space="preserve">allow </w:t>
      </w:r>
      <w:r>
        <w:rPr>
          <w:rFonts w:ascii="Trebuchet MS" w:hAnsi="Trebuchet MS" w:cs="Tahoma"/>
          <w:color w:val="000000"/>
          <w:sz w:val="22"/>
          <w:szCs w:val="22"/>
        </w:rPr>
        <w:t>the author a greater measure of control over the conditions of use, cataloguing and storage of the collection</w:t>
      </w:r>
    </w:p>
    <w:p w:rsidR="00540B21" w:rsidRDefault="00540B21" w:rsidP="00540B21">
      <w:pPr>
        <w:autoSpaceDE w:val="0"/>
        <w:autoSpaceDN w:val="0"/>
        <w:adjustRightInd w:val="0"/>
        <w:spacing w:after="0" w:line="240" w:lineRule="auto"/>
        <w:rPr>
          <w:rFonts w:ascii="Trebuchet MS" w:hAnsi="Trebuchet MS" w:cs="Calibri"/>
        </w:rPr>
      </w:pPr>
    </w:p>
    <w:p w:rsidR="00DA7DE4" w:rsidRDefault="00DA7DE4" w:rsidP="00540B21">
      <w:pPr>
        <w:autoSpaceDE w:val="0"/>
        <w:autoSpaceDN w:val="0"/>
        <w:adjustRightInd w:val="0"/>
        <w:spacing w:after="0" w:line="240" w:lineRule="auto"/>
        <w:rPr>
          <w:rFonts w:ascii="Trebuchet MS" w:hAnsi="Trebuchet MS" w:cs="Calibri"/>
          <w:b/>
        </w:rPr>
      </w:pPr>
      <w:r>
        <w:rPr>
          <w:rFonts w:ascii="Trebuchet MS" w:hAnsi="Trebuchet MS" w:cs="Calibri"/>
          <w:b/>
        </w:rPr>
        <w:t>7. Sale of papers and archives</w:t>
      </w:r>
    </w:p>
    <w:p w:rsidR="008A135B" w:rsidRDefault="00DA7DE4" w:rsidP="008A135B">
      <w:pPr>
        <w:pStyle w:val="NormalWeb"/>
        <w:rPr>
          <w:rFonts w:ascii="Trebuchet MS" w:hAnsi="Trebuchet MS" w:cs="Tahoma"/>
          <w:color w:val="000000"/>
          <w:sz w:val="22"/>
          <w:szCs w:val="22"/>
        </w:rPr>
      </w:pPr>
      <w:r w:rsidRPr="0004513A">
        <w:rPr>
          <w:rFonts w:ascii="Trebuchet MS" w:hAnsi="Trebuchet MS" w:cs="Calibri"/>
          <w:sz w:val="22"/>
          <w:szCs w:val="22"/>
        </w:rPr>
        <w:t xml:space="preserve">Some authors choose to place their archive for sale by auction, but in that case the archive may end up in one or several repositories anywhere in the world. </w:t>
      </w:r>
      <w:r w:rsidR="008A135B" w:rsidRPr="0004513A">
        <w:rPr>
          <w:rFonts w:ascii="Trebuchet MS" w:hAnsi="Trebuchet MS" w:cs="Calibri"/>
          <w:sz w:val="22"/>
          <w:szCs w:val="22"/>
        </w:rPr>
        <w:t>Archives are most valuable when kept together as a complete collection and are easier to access and use for research. It is strongly recommended to keep a collection together, even if the decision has been made to sell.</w:t>
      </w:r>
      <w:r w:rsidR="00277615">
        <w:rPr>
          <w:rFonts w:ascii="Trebuchet MS" w:hAnsi="Trebuchet MS" w:cs="Calibri"/>
          <w:sz w:val="22"/>
          <w:szCs w:val="22"/>
        </w:rPr>
        <w:t xml:space="preserve"> When a collection is broken up or ‘dispersed’ it is difficult to find all of the component parts</w:t>
      </w:r>
      <w:r w:rsidR="008A135B">
        <w:rPr>
          <w:rFonts w:ascii="Trebuchet MS" w:hAnsi="Trebuchet MS" w:cs="Tahoma"/>
          <w:color w:val="000000"/>
          <w:sz w:val="22"/>
          <w:szCs w:val="22"/>
        </w:rPr>
        <w:t>.</w:t>
      </w:r>
      <w:r w:rsidR="0004513A">
        <w:rPr>
          <w:rFonts w:ascii="Trebuchet MS" w:hAnsi="Trebuchet MS" w:cs="Tahoma"/>
          <w:color w:val="000000"/>
          <w:sz w:val="22"/>
          <w:szCs w:val="22"/>
        </w:rPr>
        <w:t xml:space="preserve"> </w:t>
      </w:r>
      <w:r w:rsidR="008A135B">
        <w:rPr>
          <w:rFonts w:ascii="Trebuchet MS" w:hAnsi="Trebuchet MS" w:cs="Tahoma"/>
          <w:color w:val="000000"/>
          <w:sz w:val="22"/>
          <w:szCs w:val="22"/>
        </w:rPr>
        <w:t xml:space="preserve">In the event of an open-market sale, the </w:t>
      </w:r>
      <w:r w:rsidR="00277615">
        <w:rPr>
          <w:rFonts w:ascii="Trebuchet MS" w:hAnsi="Trebuchet MS" w:cs="Tahoma"/>
          <w:color w:val="000000"/>
          <w:sz w:val="22"/>
          <w:szCs w:val="22"/>
        </w:rPr>
        <w:t>archive service or purchaser</w:t>
      </w:r>
      <w:r w:rsidR="008A135B">
        <w:rPr>
          <w:rFonts w:ascii="Trebuchet MS" w:hAnsi="Trebuchet MS" w:cs="Tahoma"/>
          <w:color w:val="000000"/>
          <w:sz w:val="22"/>
          <w:szCs w:val="22"/>
        </w:rPr>
        <w:t xml:space="preserve"> will usually take control of all rights except copyright.</w:t>
      </w:r>
    </w:p>
    <w:p w:rsidR="008A135B" w:rsidRDefault="008A135B" w:rsidP="008A135B">
      <w:pPr>
        <w:pStyle w:val="NormalWeb"/>
        <w:rPr>
          <w:rFonts w:ascii="Trebuchet MS" w:hAnsi="Trebuchet MS" w:cs="Tahoma"/>
          <w:color w:val="000000"/>
          <w:sz w:val="22"/>
          <w:szCs w:val="22"/>
        </w:rPr>
      </w:pPr>
      <w:r>
        <w:rPr>
          <w:rFonts w:ascii="Trebuchet MS" w:hAnsi="Trebuchet MS" w:cs="Tahoma"/>
          <w:color w:val="000000"/>
          <w:sz w:val="22"/>
          <w:szCs w:val="22"/>
        </w:rPr>
        <w:t>The National Archives monitor the sale and movement of archives collections across the UK. Advice on the sale of archives, including related legislation</w:t>
      </w:r>
      <w:r w:rsidR="00933A75">
        <w:rPr>
          <w:rFonts w:ascii="Trebuchet MS" w:hAnsi="Trebuchet MS" w:cs="Tahoma"/>
          <w:color w:val="000000"/>
          <w:sz w:val="22"/>
          <w:szCs w:val="22"/>
        </w:rPr>
        <w:t xml:space="preserve"> and tax</w:t>
      </w:r>
      <w:r>
        <w:rPr>
          <w:rFonts w:ascii="Trebuchet MS" w:hAnsi="Trebuchet MS" w:cs="Tahoma"/>
          <w:color w:val="000000"/>
          <w:sz w:val="22"/>
          <w:szCs w:val="22"/>
        </w:rPr>
        <w:t xml:space="preserve"> is available online and on request. </w:t>
      </w:r>
      <w:hyperlink r:id="rId9" w:history="1">
        <w:r w:rsidR="00277615" w:rsidRPr="003107CC">
          <w:rPr>
            <w:rStyle w:val="Hyperlink"/>
            <w:rFonts w:ascii="Trebuchet MS" w:hAnsi="Trebuchet MS" w:cs="Tahoma"/>
            <w:sz w:val="22"/>
            <w:szCs w:val="22"/>
          </w:rPr>
          <w:t>http://www.nationalarchives.gov.uk/archives-sector/cultural-property.htm</w:t>
        </w:r>
      </w:hyperlink>
      <w:r w:rsidR="00277615">
        <w:rPr>
          <w:rFonts w:ascii="Trebuchet MS" w:hAnsi="Trebuchet MS" w:cs="Tahoma"/>
          <w:color w:val="000000"/>
          <w:sz w:val="22"/>
          <w:szCs w:val="22"/>
        </w:rPr>
        <w:t xml:space="preserve"> </w:t>
      </w:r>
    </w:p>
    <w:p w:rsidR="008A135B" w:rsidRDefault="008A135B" w:rsidP="008A135B">
      <w:pPr>
        <w:autoSpaceDE w:val="0"/>
        <w:autoSpaceDN w:val="0"/>
        <w:adjustRightInd w:val="0"/>
        <w:spacing w:after="0" w:line="240" w:lineRule="auto"/>
        <w:rPr>
          <w:rFonts w:ascii="Trebuchet MS" w:hAnsi="Trebuchet MS"/>
        </w:rPr>
      </w:pPr>
    </w:p>
    <w:p w:rsidR="00DA7DE4" w:rsidRDefault="00DA7DE4" w:rsidP="00540B21">
      <w:pPr>
        <w:autoSpaceDE w:val="0"/>
        <w:autoSpaceDN w:val="0"/>
        <w:adjustRightInd w:val="0"/>
        <w:spacing w:after="0" w:line="240" w:lineRule="auto"/>
        <w:rPr>
          <w:rFonts w:ascii="Trebuchet MS" w:hAnsi="Trebuchet MS" w:cs="Calibri"/>
          <w:b/>
        </w:rPr>
      </w:pPr>
    </w:p>
    <w:p w:rsidR="00540B21" w:rsidRDefault="00540B21" w:rsidP="00540B21">
      <w:pPr>
        <w:autoSpaceDE w:val="0"/>
        <w:autoSpaceDN w:val="0"/>
        <w:adjustRightInd w:val="0"/>
        <w:spacing w:after="0" w:line="240" w:lineRule="auto"/>
        <w:rPr>
          <w:rFonts w:ascii="Trebuchet MS" w:hAnsi="Trebuchet MS" w:cs="Calibri"/>
        </w:rPr>
      </w:pPr>
      <w:r>
        <w:rPr>
          <w:rFonts w:ascii="Trebuchet MS" w:hAnsi="Trebuchet MS" w:cs="Calibri"/>
          <w:b/>
        </w:rPr>
        <w:t>8. Valuation.</w:t>
      </w:r>
      <w:r>
        <w:rPr>
          <w:rFonts w:ascii="Trebuchet MS" w:hAnsi="Trebuchet MS" w:cs="Calibri"/>
        </w:rPr>
        <w:t xml:space="preserve">  In cases where open-market sale is considered, a proper independent valuation should be obtained before proceeding with the sale. In certain other circumstances, a full valuation can also be helpful (e.g. for tax purposes).</w:t>
      </w:r>
      <w:r w:rsidR="00277615">
        <w:rPr>
          <w:rFonts w:ascii="Trebuchet MS" w:hAnsi="Trebuchet MS" w:cs="Calibri"/>
        </w:rPr>
        <w:t xml:space="preserve"> The National Archives </w:t>
      </w:r>
      <w:r w:rsidR="00933A75">
        <w:rPr>
          <w:rFonts w:ascii="Trebuchet MS" w:hAnsi="Trebuchet MS" w:cs="Calibri"/>
        </w:rPr>
        <w:t xml:space="preserve">Sales Monitoring team </w:t>
      </w:r>
      <w:r w:rsidR="00277615">
        <w:rPr>
          <w:rFonts w:ascii="Trebuchet MS" w:hAnsi="Trebuchet MS" w:cs="Calibri"/>
        </w:rPr>
        <w:t>collects information on prices realised and can provide general advice on pricing for private sales</w:t>
      </w:r>
      <w:r w:rsidR="00933A75">
        <w:rPr>
          <w:rFonts w:ascii="Trebuchet MS" w:hAnsi="Trebuchet MS" w:cs="Calibri"/>
        </w:rPr>
        <w:t xml:space="preserve">, to funders and archives seeking to purchase.  </w:t>
      </w:r>
    </w:p>
    <w:p w:rsidR="00540B21" w:rsidRDefault="00540B21" w:rsidP="00540B21">
      <w:pPr>
        <w:autoSpaceDE w:val="0"/>
        <w:autoSpaceDN w:val="0"/>
        <w:adjustRightInd w:val="0"/>
        <w:spacing w:after="0" w:line="240" w:lineRule="auto"/>
        <w:rPr>
          <w:rFonts w:ascii="Trebuchet MS" w:hAnsi="Trebuchet MS" w:cs="Calibri"/>
        </w:rPr>
      </w:pPr>
    </w:p>
    <w:p w:rsidR="00540B21" w:rsidRDefault="00540B21" w:rsidP="00540B21">
      <w:pPr>
        <w:autoSpaceDE w:val="0"/>
        <w:autoSpaceDN w:val="0"/>
        <w:adjustRightInd w:val="0"/>
        <w:spacing w:after="0" w:line="240" w:lineRule="auto"/>
        <w:rPr>
          <w:rFonts w:ascii="Trebuchet MS" w:hAnsi="Trebuchet MS" w:cs="Calibri"/>
        </w:rPr>
      </w:pPr>
    </w:p>
    <w:p w:rsidR="00540B21" w:rsidRDefault="00540B21" w:rsidP="00540B21">
      <w:pPr>
        <w:autoSpaceDE w:val="0"/>
        <w:autoSpaceDN w:val="0"/>
        <w:adjustRightInd w:val="0"/>
        <w:spacing w:after="0" w:line="240" w:lineRule="auto"/>
        <w:rPr>
          <w:rFonts w:ascii="Trebuchet MS" w:hAnsi="Trebuchet MS" w:cs="Calibri"/>
        </w:rPr>
      </w:pPr>
      <w:r>
        <w:rPr>
          <w:rFonts w:ascii="Trebuchet MS" w:hAnsi="Trebuchet MS" w:cs="Calibri"/>
          <w:b/>
        </w:rPr>
        <w:t>9. Offsetting value.</w:t>
      </w:r>
      <w:r>
        <w:rPr>
          <w:rFonts w:ascii="Trebuchet MS" w:hAnsi="Trebuchet MS" w:cs="Calibri"/>
        </w:rPr>
        <w:t xml:space="preserve"> In many countries, the value of a donated literary archive can be offset against taxation liabilities or against death duties. This would also be dependent on an independent professional valuation.</w:t>
      </w:r>
      <w:r w:rsidR="00277615">
        <w:rPr>
          <w:rFonts w:ascii="Trebuchet MS" w:hAnsi="Trebuchet MS" w:cs="Calibri"/>
        </w:rPr>
        <w:t xml:space="preserve"> </w:t>
      </w:r>
      <w:r w:rsidR="00933A75">
        <w:rPr>
          <w:rFonts w:ascii="Trebuchet MS" w:hAnsi="Trebuchet MS" w:cs="Calibri"/>
        </w:rPr>
        <w:t xml:space="preserve">Further details are available online here: </w:t>
      </w:r>
      <w:hyperlink r:id="rId10" w:history="1">
        <w:r w:rsidR="00933A75" w:rsidRPr="003107CC">
          <w:rPr>
            <w:rStyle w:val="Hyperlink"/>
            <w:rFonts w:ascii="Trebuchet MS" w:hAnsi="Trebuchet MS" w:cs="Tahoma"/>
          </w:rPr>
          <w:t>http://www.nationalarchives.gov.uk/archives-sector/cultural-property.htm</w:t>
        </w:r>
      </w:hyperlink>
    </w:p>
    <w:p w:rsidR="00540B21" w:rsidRDefault="00540B21" w:rsidP="00540B21">
      <w:pPr>
        <w:autoSpaceDE w:val="0"/>
        <w:autoSpaceDN w:val="0"/>
        <w:adjustRightInd w:val="0"/>
        <w:spacing w:after="0" w:line="240" w:lineRule="auto"/>
        <w:rPr>
          <w:rFonts w:ascii="Trebuchet MS" w:hAnsi="Trebuchet MS" w:cs="Calibri"/>
        </w:rPr>
      </w:pPr>
    </w:p>
    <w:p w:rsidR="00540B21" w:rsidRDefault="00540B21" w:rsidP="00540B21">
      <w:pPr>
        <w:autoSpaceDE w:val="0"/>
        <w:autoSpaceDN w:val="0"/>
        <w:adjustRightInd w:val="0"/>
        <w:spacing w:after="0" w:line="240" w:lineRule="auto"/>
        <w:rPr>
          <w:rFonts w:ascii="Trebuchet MS" w:hAnsi="Trebuchet MS" w:cs="Calibri"/>
        </w:rPr>
      </w:pPr>
    </w:p>
    <w:p w:rsidR="00277615" w:rsidRDefault="00933A75" w:rsidP="00277615">
      <w:pPr>
        <w:autoSpaceDE w:val="0"/>
        <w:autoSpaceDN w:val="0"/>
        <w:adjustRightInd w:val="0"/>
        <w:spacing w:after="0" w:line="240" w:lineRule="auto"/>
        <w:rPr>
          <w:rFonts w:ascii="Trebuchet MS" w:hAnsi="Trebuchet MS" w:cs="Calibri"/>
        </w:rPr>
      </w:pPr>
      <w:r>
        <w:rPr>
          <w:rFonts w:ascii="Trebuchet MS" w:hAnsi="Trebuchet MS" w:cs="Calibri"/>
          <w:b/>
        </w:rPr>
        <w:t>10</w:t>
      </w:r>
      <w:r w:rsidR="00277615">
        <w:rPr>
          <w:rFonts w:ascii="Trebuchet MS" w:hAnsi="Trebuchet MS" w:cs="Calibri"/>
          <w:b/>
        </w:rPr>
        <w:t>. The author’s own listing of the papers.</w:t>
      </w:r>
      <w:r w:rsidR="00277615">
        <w:rPr>
          <w:rFonts w:ascii="Trebuchet MS" w:hAnsi="Trebuchet MS" w:cs="Calibri"/>
        </w:rPr>
        <w:t xml:space="preserve">  It is good practice for the author to make their own list of the materials which they have preserved, in numbered boxes and/or folders. Correspondence may be listed chronologically, year by year, or alphabetically, correspondent by correspondent.  Generally, both researchers and valuers find A-Z arrangement by correspondent more useful.  It is helpful if, with correspondents who sign only with forenames or nicknames, the author adds the surname in pencil</w:t>
      </w:r>
      <w:r w:rsidR="00097288">
        <w:rPr>
          <w:rFonts w:ascii="Trebuchet MS" w:hAnsi="Trebuchet MS" w:cs="Calibri"/>
        </w:rPr>
        <w:t>, to the folder</w:t>
      </w:r>
      <w:r w:rsidR="007C0097">
        <w:rPr>
          <w:rFonts w:ascii="Trebuchet MS" w:hAnsi="Trebuchet MS" w:cs="Calibri"/>
        </w:rPr>
        <w:t xml:space="preserve"> or to a slip of clean paper inserted in the document</w:t>
      </w:r>
      <w:r w:rsidR="00277615">
        <w:rPr>
          <w:rFonts w:ascii="Trebuchet MS" w:hAnsi="Trebuchet MS" w:cs="Calibri"/>
        </w:rPr>
        <w:t>.</w:t>
      </w:r>
    </w:p>
    <w:p w:rsidR="00277615" w:rsidRDefault="00277615" w:rsidP="00540B21">
      <w:pPr>
        <w:pStyle w:val="NormalWeb"/>
        <w:rPr>
          <w:rFonts w:ascii="Trebuchet MS" w:hAnsi="Trebuchet MS" w:cs="Calibri"/>
          <w:b/>
          <w:sz w:val="22"/>
          <w:szCs w:val="22"/>
        </w:rPr>
      </w:pPr>
    </w:p>
    <w:p w:rsidR="007C0097" w:rsidRDefault="0094280A" w:rsidP="00540B21">
      <w:pPr>
        <w:pStyle w:val="NormalWeb"/>
        <w:rPr>
          <w:rFonts w:ascii="Trebuchet MS" w:hAnsi="Trebuchet MS" w:cs="Tahoma"/>
          <w:color w:val="000000"/>
          <w:sz w:val="22"/>
          <w:szCs w:val="22"/>
        </w:rPr>
      </w:pPr>
      <w:r>
        <w:rPr>
          <w:rFonts w:ascii="Trebuchet MS" w:hAnsi="Trebuchet MS" w:cs="Calibri"/>
          <w:b/>
          <w:sz w:val="22"/>
          <w:szCs w:val="22"/>
        </w:rPr>
        <w:t>11</w:t>
      </w:r>
      <w:r w:rsidR="00540B21">
        <w:rPr>
          <w:rFonts w:ascii="Trebuchet MS" w:hAnsi="Trebuchet MS" w:cs="Calibri"/>
          <w:b/>
          <w:sz w:val="22"/>
          <w:szCs w:val="22"/>
        </w:rPr>
        <w:t>. Terms of transfer: storage.</w:t>
      </w:r>
      <w:r w:rsidR="00540B21">
        <w:rPr>
          <w:rFonts w:ascii="Trebuchet MS" w:hAnsi="Trebuchet MS" w:cs="Calibri"/>
          <w:sz w:val="22"/>
          <w:szCs w:val="22"/>
        </w:rPr>
        <w:t xml:space="preserve">  </w:t>
      </w:r>
      <w:r w:rsidR="00540B21">
        <w:rPr>
          <w:rFonts w:ascii="Trebuchet MS" w:hAnsi="Trebuchet MS" w:cs="Tahoma"/>
          <w:color w:val="000000"/>
          <w:sz w:val="22"/>
          <w:szCs w:val="22"/>
        </w:rPr>
        <w:t xml:space="preserve">With a gift, conditions of storage should be specified.  </w:t>
      </w:r>
    </w:p>
    <w:p w:rsidR="00540B21" w:rsidRDefault="007C0097" w:rsidP="007C0097">
      <w:pPr>
        <w:pStyle w:val="NormalWeb"/>
        <w:rPr>
          <w:rFonts w:ascii="Trebuchet MS" w:hAnsi="Trebuchet MS" w:cs="Tahoma"/>
          <w:color w:val="000000"/>
          <w:sz w:val="22"/>
          <w:szCs w:val="22"/>
        </w:rPr>
      </w:pPr>
      <w:r>
        <w:rPr>
          <w:rFonts w:ascii="Trebuchet MS" w:hAnsi="Trebuchet MS" w:cs="Tahoma"/>
          <w:color w:val="000000"/>
          <w:sz w:val="22"/>
          <w:szCs w:val="22"/>
        </w:rPr>
        <w:t>Many archive services are able to provide optimal storage conditions, though smaller services may not be able to achieve this. The recognised standard is PD5454, which applies to all formats of archival material and specifies the ideal temperature and humidity controls for archival storage.  The collection</w:t>
      </w:r>
      <w:r w:rsidR="0004513A">
        <w:rPr>
          <w:rFonts w:ascii="Trebuchet MS" w:hAnsi="Trebuchet MS" w:cs="Tahoma"/>
          <w:color w:val="000000"/>
          <w:sz w:val="22"/>
          <w:szCs w:val="22"/>
        </w:rPr>
        <w:t xml:space="preserve"> </w:t>
      </w:r>
      <w:r w:rsidR="00540B21">
        <w:rPr>
          <w:rFonts w:ascii="Trebuchet MS" w:hAnsi="Trebuchet MS" w:cs="Tahoma"/>
          <w:color w:val="000000"/>
          <w:sz w:val="22"/>
          <w:szCs w:val="22"/>
        </w:rPr>
        <w:t xml:space="preserve">should be stored in acid-free archival boxes or folders, </w:t>
      </w:r>
      <w:r>
        <w:rPr>
          <w:rFonts w:ascii="Trebuchet MS" w:hAnsi="Trebuchet MS" w:cs="Tahoma"/>
          <w:color w:val="000000"/>
          <w:sz w:val="22"/>
          <w:szCs w:val="22"/>
        </w:rPr>
        <w:t>on</w:t>
      </w:r>
      <w:r w:rsidR="00540B21">
        <w:rPr>
          <w:rFonts w:ascii="Trebuchet MS" w:hAnsi="Trebuchet MS" w:cs="Tahoma"/>
          <w:color w:val="000000"/>
          <w:sz w:val="22"/>
          <w:szCs w:val="22"/>
        </w:rPr>
        <w:t xml:space="preserve"> shelves </w:t>
      </w:r>
      <w:r>
        <w:rPr>
          <w:rFonts w:ascii="Trebuchet MS" w:hAnsi="Trebuchet MS" w:cs="Tahoma"/>
          <w:color w:val="000000"/>
          <w:sz w:val="22"/>
          <w:szCs w:val="22"/>
        </w:rPr>
        <w:t xml:space="preserve">and never </w:t>
      </w:r>
      <w:r w:rsidR="00540B21">
        <w:rPr>
          <w:rFonts w:ascii="Trebuchet MS" w:hAnsi="Trebuchet MS" w:cs="Tahoma"/>
          <w:color w:val="000000"/>
          <w:sz w:val="22"/>
          <w:szCs w:val="22"/>
        </w:rPr>
        <w:t>on the floor. Authors should seek assurances that their own collection will be stored at least as well as the main collections already owned by the institution</w:t>
      </w:r>
      <w:r>
        <w:rPr>
          <w:rFonts w:ascii="Trebuchet MS" w:hAnsi="Trebuchet MS" w:cs="Tahoma"/>
          <w:color w:val="000000"/>
          <w:sz w:val="22"/>
          <w:szCs w:val="22"/>
        </w:rPr>
        <w:t xml:space="preserve"> – storage areas should be clean, dry, secure, protected from light and environmental cond</w:t>
      </w:r>
      <w:r w:rsidR="0094280A">
        <w:rPr>
          <w:rFonts w:ascii="Trebuchet MS" w:hAnsi="Trebuchet MS" w:cs="Tahoma"/>
          <w:color w:val="000000"/>
          <w:sz w:val="22"/>
          <w:szCs w:val="22"/>
        </w:rPr>
        <w:t>i</w:t>
      </w:r>
      <w:r>
        <w:rPr>
          <w:rFonts w:ascii="Trebuchet MS" w:hAnsi="Trebuchet MS" w:cs="Tahoma"/>
          <w:color w:val="000000"/>
          <w:sz w:val="22"/>
          <w:szCs w:val="22"/>
        </w:rPr>
        <w:t>tions should be stable</w:t>
      </w:r>
      <w:r w:rsidR="00540B21">
        <w:rPr>
          <w:rFonts w:ascii="Trebuchet MS" w:hAnsi="Trebuchet MS" w:cs="Tahoma"/>
          <w:color w:val="000000"/>
          <w:sz w:val="22"/>
          <w:szCs w:val="22"/>
        </w:rPr>
        <w:t>.</w:t>
      </w:r>
      <w:r>
        <w:rPr>
          <w:rFonts w:ascii="Trebuchet MS" w:hAnsi="Trebuchet MS" w:cs="Tahoma"/>
          <w:color w:val="000000"/>
          <w:sz w:val="22"/>
          <w:szCs w:val="22"/>
        </w:rPr>
        <w:t xml:space="preserve"> Guidance is available from the British Library: </w:t>
      </w:r>
      <w:hyperlink r:id="rId11" w:history="1">
        <w:r w:rsidRPr="003107CC">
          <w:rPr>
            <w:rStyle w:val="Hyperlink"/>
            <w:rFonts w:ascii="Trebuchet MS" w:hAnsi="Trebuchet MS" w:cs="Tahoma"/>
            <w:sz w:val="22"/>
            <w:szCs w:val="22"/>
          </w:rPr>
          <w:t>http://www.bl.uk/aboutus/stratpolprog/collectioncare/publications/booklets/basic_preservation.pdf</w:t>
        </w:r>
      </w:hyperlink>
      <w:r>
        <w:rPr>
          <w:rFonts w:ascii="Trebuchet MS" w:hAnsi="Trebuchet MS" w:cs="Tahoma"/>
          <w:color w:val="000000"/>
          <w:sz w:val="22"/>
          <w:szCs w:val="22"/>
        </w:rPr>
        <w:t xml:space="preserve"> </w:t>
      </w:r>
    </w:p>
    <w:p w:rsidR="00540B21" w:rsidRDefault="00540B21" w:rsidP="00540B21">
      <w:pPr>
        <w:pStyle w:val="NormalWeb"/>
        <w:rPr>
          <w:rFonts w:ascii="Trebuchet MS" w:hAnsi="Trebuchet MS" w:cs="Tahoma"/>
          <w:color w:val="000000"/>
          <w:sz w:val="22"/>
          <w:szCs w:val="22"/>
        </w:rPr>
      </w:pPr>
    </w:p>
    <w:p w:rsidR="00540B21" w:rsidRDefault="00540B21" w:rsidP="00540B21">
      <w:pPr>
        <w:autoSpaceDE w:val="0"/>
        <w:autoSpaceDN w:val="0"/>
        <w:adjustRightInd w:val="0"/>
        <w:spacing w:after="0" w:line="240" w:lineRule="auto"/>
        <w:rPr>
          <w:rFonts w:ascii="Trebuchet MS" w:hAnsi="Trebuchet MS" w:cs="Calibri"/>
          <w:lang w:val="en-GB"/>
        </w:rPr>
      </w:pPr>
    </w:p>
    <w:p w:rsidR="00540B21" w:rsidRDefault="0094280A" w:rsidP="00540B21">
      <w:pPr>
        <w:autoSpaceDE w:val="0"/>
        <w:autoSpaceDN w:val="0"/>
        <w:adjustRightInd w:val="0"/>
        <w:spacing w:after="0" w:line="240" w:lineRule="auto"/>
        <w:rPr>
          <w:rFonts w:ascii="Trebuchet MS" w:hAnsi="Trebuchet MS" w:cs="Calibri"/>
        </w:rPr>
      </w:pPr>
      <w:r>
        <w:rPr>
          <w:rFonts w:ascii="Trebuchet MS" w:hAnsi="Trebuchet MS" w:cs="Calibri"/>
          <w:b/>
        </w:rPr>
        <w:t>12</w:t>
      </w:r>
      <w:r w:rsidR="00540B21">
        <w:rPr>
          <w:rFonts w:ascii="Trebuchet MS" w:hAnsi="Trebuchet MS" w:cs="Calibri"/>
          <w:b/>
        </w:rPr>
        <w:t>. Terms of transfer: cataloguing.</w:t>
      </w:r>
      <w:r w:rsidR="00540B21">
        <w:rPr>
          <w:rFonts w:ascii="Trebuchet MS" w:hAnsi="Trebuchet MS" w:cs="Calibri"/>
        </w:rPr>
        <w:t xml:space="preserve">  </w:t>
      </w:r>
      <w:r w:rsidR="00540B21">
        <w:rPr>
          <w:rFonts w:ascii="Trebuchet MS" w:hAnsi="Trebuchet MS" w:cs="Tahoma"/>
          <w:color w:val="000000"/>
        </w:rPr>
        <w:t>With a gift, there should be a</w:t>
      </w:r>
      <w:r w:rsidR="007C0097">
        <w:rPr>
          <w:rFonts w:ascii="Trebuchet MS" w:hAnsi="Trebuchet MS" w:cs="Tahoma"/>
          <w:color w:val="000000"/>
        </w:rPr>
        <w:t>n agreed</w:t>
      </w:r>
      <w:r w:rsidR="00540B21">
        <w:rPr>
          <w:rFonts w:ascii="Trebuchet MS" w:hAnsi="Trebuchet MS" w:cs="Tahoma"/>
          <w:color w:val="000000"/>
        </w:rPr>
        <w:t xml:space="preserve"> commitment to catalogue the collection within a definite time-period, prior to making it fully available to the public. Two years for a small collection and three years for a larger collection might be considered reasonable.</w:t>
      </w:r>
      <w:r w:rsidR="00540B21">
        <w:rPr>
          <w:rFonts w:ascii="Trebuchet MS" w:hAnsi="Trebuchet MS" w:cs="Calibri"/>
        </w:rPr>
        <w:t xml:space="preserve"> There may be opportunities to seek external funding to support the process of sorting and cataloguing</w:t>
      </w:r>
      <w:r w:rsidR="007C0097">
        <w:rPr>
          <w:rFonts w:ascii="Trebuchet MS" w:hAnsi="Trebuchet MS" w:cs="Calibri"/>
        </w:rPr>
        <w:t xml:space="preserve"> and this can be discussed as part of transfer negotiations</w:t>
      </w:r>
      <w:r w:rsidR="00540B21">
        <w:rPr>
          <w:rFonts w:ascii="Trebuchet MS" w:hAnsi="Trebuchet MS" w:cs="Calibri"/>
        </w:rPr>
        <w:t xml:space="preserve">. </w:t>
      </w:r>
    </w:p>
    <w:p w:rsidR="00540B21" w:rsidRDefault="00540B21" w:rsidP="00540B21">
      <w:pPr>
        <w:autoSpaceDE w:val="0"/>
        <w:autoSpaceDN w:val="0"/>
        <w:adjustRightInd w:val="0"/>
        <w:spacing w:after="0" w:line="240" w:lineRule="auto"/>
        <w:rPr>
          <w:rFonts w:ascii="Trebuchet MS" w:hAnsi="Trebuchet MS" w:cs="Calibri"/>
        </w:rPr>
      </w:pPr>
    </w:p>
    <w:p w:rsidR="00540B21" w:rsidRDefault="00540B21" w:rsidP="00540B21">
      <w:pPr>
        <w:autoSpaceDE w:val="0"/>
        <w:autoSpaceDN w:val="0"/>
        <w:adjustRightInd w:val="0"/>
        <w:spacing w:after="0" w:line="240" w:lineRule="auto"/>
        <w:rPr>
          <w:rFonts w:ascii="Trebuchet MS" w:hAnsi="Trebuchet MS" w:cs="Calibri"/>
        </w:rPr>
      </w:pPr>
    </w:p>
    <w:p w:rsidR="007C0097" w:rsidRDefault="0094280A" w:rsidP="00540B21">
      <w:pPr>
        <w:autoSpaceDE w:val="0"/>
        <w:autoSpaceDN w:val="0"/>
        <w:adjustRightInd w:val="0"/>
        <w:spacing w:after="0" w:line="240" w:lineRule="auto"/>
        <w:rPr>
          <w:rFonts w:ascii="Trebuchet MS" w:hAnsi="Trebuchet MS" w:cs="Tahoma"/>
          <w:color w:val="000000"/>
        </w:rPr>
      </w:pPr>
      <w:r>
        <w:rPr>
          <w:rFonts w:ascii="Trebuchet MS" w:hAnsi="Trebuchet MS" w:cs="Calibri"/>
          <w:b/>
        </w:rPr>
        <w:t>13</w:t>
      </w:r>
      <w:r w:rsidR="00540B21">
        <w:rPr>
          <w:rFonts w:ascii="Trebuchet MS" w:hAnsi="Trebuchet MS" w:cs="Calibri"/>
          <w:b/>
        </w:rPr>
        <w:t>. Terms of transfer: access and use.</w:t>
      </w:r>
      <w:r w:rsidR="00540B21">
        <w:rPr>
          <w:rFonts w:ascii="Trebuchet MS" w:hAnsi="Trebuchet MS" w:cs="Calibri"/>
        </w:rPr>
        <w:t xml:space="preserve">  </w:t>
      </w:r>
      <w:r w:rsidR="00540B21">
        <w:rPr>
          <w:rFonts w:ascii="Trebuchet MS" w:hAnsi="Trebuchet MS" w:cs="Tahoma"/>
          <w:color w:val="000000"/>
        </w:rPr>
        <w:t xml:space="preserve">Once catalogued, the collection should have clear terms of access and use. </w:t>
      </w:r>
      <w:r w:rsidR="007C0097">
        <w:rPr>
          <w:rFonts w:ascii="Trebuchet MS" w:hAnsi="Trebuchet MS" w:cs="Tahoma"/>
          <w:color w:val="000000"/>
        </w:rPr>
        <w:t xml:space="preserve">For example, these </w:t>
      </w:r>
      <w:r w:rsidR="00540B21">
        <w:rPr>
          <w:rFonts w:ascii="Trebuchet MS" w:hAnsi="Trebuchet MS" w:cs="Tahoma"/>
          <w:color w:val="000000"/>
        </w:rPr>
        <w:t>could range from</w:t>
      </w:r>
      <w:r w:rsidR="007C0097">
        <w:rPr>
          <w:rFonts w:ascii="Trebuchet MS" w:hAnsi="Trebuchet MS" w:cs="Tahoma"/>
          <w:color w:val="000000"/>
        </w:rPr>
        <w:t>:</w:t>
      </w:r>
    </w:p>
    <w:p w:rsidR="007C0097" w:rsidRDefault="00540B21" w:rsidP="0004513A">
      <w:pPr>
        <w:pStyle w:val="ListParagraph"/>
        <w:numPr>
          <w:ilvl w:val="0"/>
          <w:numId w:val="2"/>
        </w:numPr>
        <w:autoSpaceDE w:val="0"/>
        <w:autoSpaceDN w:val="0"/>
        <w:adjustRightInd w:val="0"/>
        <w:spacing w:after="0" w:line="240" w:lineRule="auto"/>
        <w:rPr>
          <w:rFonts w:ascii="Trebuchet MS" w:hAnsi="Trebuchet MS" w:cs="Tahoma"/>
          <w:color w:val="000000"/>
        </w:rPr>
      </w:pPr>
      <w:r w:rsidRPr="0004513A">
        <w:rPr>
          <w:rFonts w:ascii="Trebuchet MS" w:hAnsi="Trebuchet MS" w:cs="Tahoma"/>
          <w:color w:val="000000"/>
        </w:rPr>
        <w:t xml:space="preserve">"free access to all parts of the collection", </w:t>
      </w:r>
    </w:p>
    <w:p w:rsidR="007C0097" w:rsidRDefault="00540B21" w:rsidP="0004513A">
      <w:pPr>
        <w:pStyle w:val="ListParagraph"/>
        <w:numPr>
          <w:ilvl w:val="0"/>
          <w:numId w:val="2"/>
        </w:numPr>
        <w:autoSpaceDE w:val="0"/>
        <w:autoSpaceDN w:val="0"/>
        <w:adjustRightInd w:val="0"/>
        <w:spacing w:after="0" w:line="240" w:lineRule="auto"/>
        <w:rPr>
          <w:rFonts w:ascii="Trebuchet MS" w:hAnsi="Trebuchet MS" w:cs="Tahoma"/>
          <w:color w:val="000000"/>
        </w:rPr>
      </w:pPr>
      <w:r w:rsidRPr="0004513A">
        <w:rPr>
          <w:rFonts w:ascii="Trebuchet MS" w:hAnsi="Trebuchet MS" w:cs="Tahoma"/>
          <w:color w:val="000000"/>
        </w:rPr>
        <w:t xml:space="preserve">through "mostly free access; some highly personal papers closed until 2035", </w:t>
      </w:r>
    </w:p>
    <w:p w:rsidR="007C0097" w:rsidRDefault="00540B21" w:rsidP="0004513A">
      <w:pPr>
        <w:pStyle w:val="ListParagraph"/>
        <w:numPr>
          <w:ilvl w:val="0"/>
          <w:numId w:val="2"/>
        </w:numPr>
        <w:autoSpaceDE w:val="0"/>
        <w:autoSpaceDN w:val="0"/>
        <w:adjustRightInd w:val="0"/>
        <w:spacing w:after="0" w:line="240" w:lineRule="auto"/>
        <w:rPr>
          <w:rFonts w:ascii="Trebuchet MS" w:hAnsi="Trebuchet MS" w:cs="Tahoma"/>
          <w:color w:val="000000"/>
        </w:rPr>
      </w:pPr>
      <w:r w:rsidRPr="0004513A">
        <w:rPr>
          <w:rFonts w:ascii="Trebuchet MS" w:hAnsi="Trebuchet MS" w:cs="Tahoma"/>
          <w:color w:val="000000"/>
        </w:rPr>
        <w:t xml:space="preserve">to "access only by permission of the author during the author's lifetime".  </w:t>
      </w:r>
    </w:p>
    <w:p w:rsidR="00540B21" w:rsidRPr="0004513A" w:rsidRDefault="00540B21" w:rsidP="007C0097">
      <w:pPr>
        <w:autoSpaceDE w:val="0"/>
        <w:autoSpaceDN w:val="0"/>
        <w:adjustRightInd w:val="0"/>
        <w:spacing w:after="0" w:line="240" w:lineRule="auto"/>
        <w:rPr>
          <w:rFonts w:ascii="Trebuchet MS" w:hAnsi="Trebuchet MS" w:cs="Tahoma"/>
          <w:color w:val="000000"/>
        </w:rPr>
      </w:pPr>
      <w:r w:rsidRPr="0004513A">
        <w:rPr>
          <w:rFonts w:ascii="Trebuchet MS" w:hAnsi="Trebuchet MS" w:cs="Tahoma"/>
          <w:color w:val="000000"/>
        </w:rPr>
        <w:t>Researchers and archivists will prefer the lightest restrictions, or none, but the author can specify. Authors should be aware that some archives institutions will find it difficult to take in collections with too many restrictions on access.</w:t>
      </w:r>
    </w:p>
    <w:p w:rsidR="00540B21" w:rsidRDefault="00540B21" w:rsidP="00540B21">
      <w:pPr>
        <w:autoSpaceDE w:val="0"/>
        <w:autoSpaceDN w:val="0"/>
        <w:adjustRightInd w:val="0"/>
        <w:spacing w:after="0" w:line="240" w:lineRule="auto"/>
        <w:rPr>
          <w:rFonts w:ascii="Trebuchet MS" w:hAnsi="Trebuchet MS" w:cs="Calibri"/>
        </w:rPr>
      </w:pPr>
    </w:p>
    <w:p w:rsidR="00540B21" w:rsidRDefault="00540B21" w:rsidP="00540B21">
      <w:pPr>
        <w:autoSpaceDE w:val="0"/>
        <w:autoSpaceDN w:val="0"/>
        <w:adjustRightInd w:val="0"/>
        <w:spacing w:after="0" w:line="240" w:lineRule="auto"/>
        <w:rPr>
          <w:rFonts w:ascii="Trebuchet MS" w:hAnsi="Trebuchet MS" w:cs="Calibri"/>
        </w:rPr>
      </w:pPr>
    </w:p>
    <w:p w:rsidR="00540B21" w:rsidRDefault="0094280A" w:rsidP="00540B21">
      <w:pPr>
        <w:autoSpaceDE w:val="0"/>
        <w:autoSpaceDN w:val="0"/>
        <w:adjustRightInd w:val="0"/>
        <w:spacing w:after="0" w:line="240" w:lineRule="auto"/>
        <w:rPr>
          <w:rFonts w:ascii="Trebuchet MS" w:hAnsi="Trebuchet MS" w:cs="Tahoma"/>
          <w:color w:val="000000"/>
        </w:rPr>
      </w:pPr>
      <w:r>
        <w:rPr>
          <w:rFonts w:ascii="Trebuchet MS" w:hAnsi="Trebuchet MS" w:cs="Calibri"/>
          <w:b/>
        </w:rPr>
        <w:t>14</w:t>
      </w:r>
      <w:r w:rsidR="00540B21">
        <w:rPr>
          <w:rFonts w:ascii="Trebuchet MS" w:hAnsi="Trebuchet MS" w:cs="Calibri"/>
          <w:b/>
        </w:rPr>
        <w:t>. Terms of transfer: copyright.</w:t>
      </w:r>
      <w:r w:rsidR="00540B21">
        <w:rPr>
          <w:rFonts w:ascii="Trebuchet MS" w:hAnsi="Trebuchet MS" w:cs="Calibri"/>
        </w:rPr>
        <w:t xml:space="preserve">  </w:t>
      </w:r>
      <w:r w:rsidR="00540B21">
        <w:rPr>
          <w:rFonts w:ascii="Trebuchet MS" w:hAnsi="Trebuchet MS" w:cs="Tahoma"/>
          <w:color w:val="000000"/>
        </w:rPr>
        <w:t>It should be specified whether copyright is retained by the author or transferred to the repository. Copyright should not affect access, but should control the ability to quote or make copies. The author may prefer to retain copyright but to agree a "management arrangement" with the repository (e.g. major enquiries only to be referred to the author).</w:t>
      </w:r>
      <w:r w:rsidR="007C0097">
        <w:rPr>
          <w:rFonts w:ascii="Trebuchet MS" w:hAnsi="Trebuchet MS" w:cs="Tahoma"/>
          <w:color w:val="000000"/>
        </w:rPr>
        <w:t xml:space="preserve"> Some parts of an author’s archive may contain the copyright of others, usually described as ‘third party’ copyright. Archivists can advise on this further</w:t>
      </w:r>
      <w:r w:rsidR="0004513A">
        <w:rPr>
          <w:rFonts w:ascii="Trebuchet MS" w:hAnsi="Trebuchet MS" w:cs="Tahoma"/>
          <w:color w:val="000000"/>
        </w:rPr>
        <w:t xml:space="preserve"> as part of transfer discus</w:t>
      </w:r>
      <w:r w:rsidR="00100720">
        <w:rPr>
          <w:rFonts w:ascii="Trebuchet MS" w:hAnsi="Trebuchet MS" w:cs="Tahoma"/>
          <w:color w:val="000000"/>
        </w:rPr>
        <w:t>s</w:t>
      </w:r>
      <w:r w:rsidR="0004513A">
        <w:rPr>
          <w:rFonts w:ascii="Trebuchet MS" w:hAnsi="Trebuchet MS" w:cs="Tahoma"/>
          <w:color w:val="000000"/>
        </w:rPr>
        <w:t>i</w:t>
      </w:r>
      <w:r w:rsidR="00100720">
        <w:rPr>
          <w:rFonts w:ascii="Trebuchet MS" w:hAnsi="Trebuchet MS" w:cs="Tahoma"/>
          <w:color w:val="000000"/>
        </w:rPr>
        <w:t>ons</w:t>
      </w:r>
      <w:r w:rsidR="007C0097">
        <w:rPr>
          <w:rFonts w:ascii="Trebuchet MS" w:hAnsi="Trebuchet MS" w:cs="Tahoma"/>
          <w:color w:val="000000"/>
        </w:rPr>
        <w:t>.</w:t>
      </w:r>
      <w:r w:rsidR="00100720">
        <w:rPr>
          <w:rFonts w:ascii="Trebuchet MS" w:hAnsi="Trebuchet MS" w:cs="Tahoma"/>
          <w:color w:val="000000"/>
        </w:rPr>
        <w:t xml:space="preserve"> Further information is available online from the Information </w:t>
      </w:r>
      <w:r w:rsidR="00100720">
        <w:rPr>
          <w:rFonts w:ascii="Trebuchet MS" w:hAnsi="Trebuchet MS" w:cs="Tahoma"/>
          <w:color w:val="000000"/>
        </w:rPr>
        <w:lastRenderedPageBreak/>
        <w:t xml:space="preserve">Commissioners Office: </w:t>
      </w:r>
      <w:hyperlink r:id="rId12" w:history="1">
        <w:r w:rsidR="00100720" w:rsidRPr="0094280A">
          <w:rPr>
            <w:rStyle w:val="Hyperlink"/>
            <w:rFonts w:ascii="Trebuchet MS" w:hAnsi="Trebuchet MS" w:cs="Tahoma"/>
          </w:rPr>
          <w:t>https://www.gov.uk/government/organisations/intellectual-property-office</w:t>
        </w:r>
      </w:hyperlink>
    </w:p>
    <w:p w:rsidR="00540B21" w:rsidRDefault="00540B21" w:rsidP="00540B21">
      <w:pPr>
        <w:autoSpaceDE w:val="0"/>
        <w:autoSpaceDN w:val="0"/>
        <w:adjustRightInd w:val="0"/>
        <w:spacing w:after="0" w:line="240" w:lineRule="auto"/>
        <w:rPr>
          <w:rFonts w:ascii="Trebuchet MS" w:hAnsi="Trebuchet MS" w:cs="Tahoma"/>
          <w:color w:val="000000"/>
        </w:rPr>
      </w:pPr>
    </w:p>
    <w:p w:rsidR="00540B21" w:rsidRDefault="00540B21" w:rsidP="00540B21">
      <w:pPr>
        <w:autoSpaceDE w:val="0"/>
        <w:autoSpaceDN w:val="0"/>
        <w:adjustRightInd w:val="0"/>
        <w:spacing w:after="0" w:line="240" w:lineRule="auto"/>
        <w:rPr>
          <w:rFonts w:ascii="Trebuchet MS" w:hAnsi="Trebuchet MS" w:cs="Tahoma"/>
          <w:color w:val="000000"/>
        </w:rPr>
      </w:pPr>
    </w:p>
    <w:p w:rsidR="00540B21" w:rsidRDefault="0094280A" w:rsidP="00540B21">
      <w:pPr>
        <w:autoSpaceDE w:val="0"/>
        <w:autoSpaceDN w:val="0"/>
        <w:adjustRightInd w:val="0"/>
        <w:spacing w:after="0" w:line="240" w:lineRule="auto"/>
        <w:rPr>
          <w:rFonts w:ascii="Trebuchet MS" w:hAnsi="Trebuchet MS" w:cs="Tahoma"/>
          <w:color w:val="000000"/>
        </w:rPr>
      </w:pPr>
      <w:r>
        <w:rPr>
          <w:rFonts w:ascii="Trebuchet MS" w:hAnsi="Trebuchet MS" w:cs="Calibri"/>
          <w:b/>
        </w:rPr>
        <w:t>15</w:t>
      </w:r>
      <w:r w:rsidR="00540B21">
        <w:rPr>
          <w:rFonts w:ascii="Trebuchet MS" w:hAnsi="Trebuchet MS" w:cs="Calibri"/>
          <w:b/>
        </w:rPr>
        <w:t>. Terms of transfer: rights to make copies.</w:t>
      </w:r>
      <w:r w:rsidR="00540B21">
        <w:rPr>
          <w:rFonts w:ascii="Trebuchet MS" w:hAnsi="Trebuchet MS" w:cs="Calibri"/>
        </w:rPr>
        <w:t xml:space="preserve">  </w:t>
      </w:r>
      <w:r w:rsidR="00540B21">
        <w:rPr>
          <w:rFonts w:ascii="Trebuchet MS" w:hAnsi="Trebuchet MS" w:cs="Tahoma"/>
          <w:color w:val="000000"/>
        </w:rPr>
        <w:t xml:space="preserve">The author should consider the extent to which they are content for copies to be made of their paper and digital literary archives.  In the case of an open-market sale, the author would be unlikely to have control over this.  With a gift or a private sale agreement, authors can specify their terms.  They could specify a maximum of 30 pages for any one researcher, for example; or could insist upon no copying at all for the first five years </w:t>
      </w:r>
      <w:r w:rsidR="00100720">
        <w:rPr>
          <w:rFonts w:ascii="Trebuchet MS" w:hAnsi="Trebuchet MS" w:cs="Tahoma"/>
          <w:color w:val="000000"/>
        </w:rPr>
        <w:t>following transfer</w:t>
      </w:r>
      <w:r w:rsidR="00540B21">
        <w:rPr>
          <w:rFonts w:ascii="Trebuchet MS" w:hAnsi="Trebuchet MS" w:cs="Tahoma"/>
          <w:color w:val="000000"/>
        </w:rPr>
        <w:t>.  This may depend upon the personal sensitivity of the papers’ contents; if there is no such sensitivity then a more generous approach to copying could be taken.</w:t>
      </w:r>
    </w:p>
    <w:p w:rsidR="00540B21" w:rsidRDefault="00540B21" w:rsidP="00540B21">
      <w:pPr>
        <w:autoSpaceDE w:val="0"/>
        <w:autoSpaceDN w:val="0"/>
        <w:adjustRightInd w:val="0"/>
        <w:spacing w:after="0" w:line="240" w:lineRule="auto"/>
        <w:rPr>
          <w:rFonts w:ascii="Trebuchet MS" w:hAnsi="Trebuchet MS" w:cs="Tahoma"/>
          <w:color w:val="000000"/>
        </w:rPr>
      </w:pPr>
    </w:p>
    <w:p w:rsidR="00540B21" w:rsidRDefault="00540B21" w:rsidP="00540B21">
      <w:pPr>
        <w:autoSpaceDE w:val="0"/>
        <w:autoSpaceDN w:val="0"/>
        <w:adjustRightInd w:val="0"/>
        <w:spacing w:after="0" w:line="240" w:lineRule="auto"/>
        <w:rPr>
          <w:rFonts w:ascii="Trebuchet MS" w:hAnsi="Trebuchet MS" w:cs="Calibri"/>
        </w:rPr>
      </w:pPr>
    </w:p>
    <w:p w:rsidR="00540B21" w:rsidRDefault="0094280A" w:rsidP="00540B21">
      <w:pPr>
        <w:pStyle w:val="NormalWeb"/>
        <w:rPr>
          <w:rFonts w:ascii="Trebuchet MS" w:hAnsi="Trebuchet MS" w:cs="Tahoma"/>
          <w:color w:val="000000"/>
          <w:sz w:val="22"/>
          <w:szCs w:val="22"/>
        </w:rPr>
      </w:pPr>
      <w:r>
        <w:rPr>
          <w:rFonts w:ascii="Trebuchet MS" w:hAnsi="Trebuchet MS" w:cs="Calibri"/>
          <w:b/>
          <w:sz w:val="22"/>
          <w:szCs w:val="22"/>
        </w:rPr>
        <w:t>16</w:t>
      </w:r>
      <w:r w:rsidR="00540B21">
        <w:rPr>
          <w:rFonts w:ascii="Trebuchet MS" w:hAnsi="Trebuchet MS" w:cs="Calibri"/>
          <w:b/>
          <w:sz w:val="22"/>
          <w:szCs w:val="22"/>
        </w:rPr>
        <w:t>. Terms of transfer: weeding.</w:t>
      </w:r>
      <w:r w:rsidR="00540B21">
        <w:rPr>
          <w:rFonts w:ascii="Trebuchet MS" w:hAnsi="Trebuchet MS" w:cs="Calibri"/>
          <w:sz w:val="22"/>
          <w:szCs w:val="22"/>
        </w:rPr>
        <w:t xml:space="preserve">   </w:t>
      </w:r>
      <w:r w:rsidR="00540B21">
        <w:rPr>
          <w:rFonts w:ascii="Trebuchet MS" w:hAnsi="Trebuchet MS" w:cs="Tahoma"/>
          <w:color w:val="000000"/>
          <w:sz w:val="22"/>
          <w:szCs w:val="22"/>
        </w:rPr>
        <w:t xml:space="preserve">The deed of gift or deposit should specify the arrangements for weeding a collection.  </w:t>
      </w:r>
      <w:r w:rsidR="002171C0">
        <w:rPr>
          <w:rFonts w:ascii="Trebuchet MS" w:hAnsi="Trebuchet MS" w:cs="Tahoma"/>
          <w:color w:val="000000"/>
          <w:sz w:val="22"/>
          <w:szCs w:val="22"/>
        </w:rPr>
        <w:t xml:space="preserve">Weeding is the removal or ‘weeding out’ of unwanted or irrelevant material, and duplicate copies. </w:t>
      </w:r>
      <w:r w:rsidR="00540B21">
        <w:rPr>
          <w:rFonts w:ascii="Trebuchet MS" w:hAnsi="Trebuchet MS" w:cs="Tahoma"/>
          <w:color w:val="000000"/>
          <w:sz w:val="22"/>
          <w:szCs w:val="22"/>
        </w:rPr>
        <w:t xml:space="preserve">The author may wish to weed certain documents before transfer; the repository would normally prefer that this was not done in advance. </w:t>
      </w:r>
      <w:r w:rsidR="002171C0">
        <w:rPr>
          <w:rFonts w:ascii="Trebuchet MS" w:hAnsi="Trebuchet MS" w:cs="Tahoma"/>
          <w:color w:val="000000"/>
          <w:sz w:val="22"/>
          <w:szCs w:val="22"/>
        </w:rPr>
        <w:t xml:space="preserve">It is better for the archivist to weed collections, as they can ensure that valuable information is not removed, and apply professional and ethical expertise. </w:t>
      </w:r>
      <w:r w:rsidR="00540B21">
        <w:rPr>
          <w:rFonts w:ascii="Trebuchet MS" w:hAnsi="Trebuchet MS" w:cs="Tahoma"/>
          <w:color w:val="000000"/>
          <w:sz w:val="22"/>
          <w:szCs w:val="22"/>
        </w:rPr>
        <w:t>With gifts or deposits of non-literary collections, repositories are often given "weeding rights".  With a literary collection, the author might specify weeding of "printed duplicates only; no manuscript material".</w:t>
      </w:r>
    </w:p>
    <w:p w:rsidR="00540B21" w:rsidRDefault="00540B21" w:rsidP="00540B21">
      <w:pPr>
        <w:pStyle w:val="NormalWeb"/>
        <w:rPr>
          <w:rFonts w:ascii="Trebuchet MS" w:hAnsi="Trebuchet MS" w:cs="Tahoma"/>
          <w:color w:val="000000"/>
          <w:sz w:val="22"/>
          <w:szCs w:val="22"/>
        </w:rPr>
      </w:pPr>
    </w:p>
    <w:p w:rsidR="00540B21" w:rsidRDefault="00540B21" w:rsidP="00540B21">
      <w:pPr>
        <w:autoSpaceDE w:val="0"/>
        <w:autoSpaceDN w:val="0"/>
        <w:adjustRightInd w:val="0"/>
        <w:spacing w:after="0" w:line="240" w:lineRule="auto"/>
        <w:rPr>
          <w:rFonts w:ascii="Trebuchet MS" w:hAnsi="Trebuchet MS" w:cs="Calibri"/>
        </w:rPr>
      </w:pPr>
    </w:p>
    <w:p w:rsidR="00540B21" w:rsidRDefault="0094280A" w:rsidP="00540B21">
      <w:pPr>
        <w:pStyle w:val="NormalWeb"/>
        <w:rPr>
          <w:rFonts w:ascii="Trebuchet MS" w:hAnsi="Trebuchet MS" w:cs="Tahoma"/>
          <w:color w:val="000000"/>
          <w:sz w:val="22"/>
          <w:szCs w:val="22"/>
        </w:rPr>
      </w:pPr>
      <w:r>
        <w:rPr>
          <w:rFonts w:ascii="Trebuchet MS" w:hAnsi="Trebuchet MS" w:cs="Calibri"/>
          <w:b/>
          <w:sz w:val="22"/>
          <w:szCs w:val="22"/>
        </w:rPr>
        <w:t>17</w:t>
      </w:r>
      <w:r w:rsidR="00540B21">
        <w:rPr>
          <w:rFonts w:ascii="Trebuchet MS" w:hAnsi="Trebuchet MS" w:cs="Calibri"/>
          <w:b/>
          <w:sz w:val="22"/>
          <w:szCs w:val="22"/>
        </w:rPr>
        <w:t>. Terms of transfer: repository’s rights of use.</w:t>
      </w:r>
      <w:r w:rsidR="00540B21">
        <w:rPr>
          <w:rFonts w:ascii="Trebuchet MS" w:hAnsi="Trebuchet MS" w:cs="Calibri"/>
          <w:sz w:val="22"/>
          <w:szCs w:val="22"/>
        </w:rPr>
        <w:t xml:space="preserve"> </w:t>
      </w:r>
      <w:r w:rsidR="00540B21">
        <w:rPr>
          <w:rFonts w:ascii="Trebuchet MS" w:hAnsi="Trebuchet MS" w:cs="Tahoma"/>
          <w:color w:val="000000"/>
          <w:sz w:val="22"/>
          <w:szCs w:val="22"/>
        </w:rPr>
        <w:t>The repository will expect the right to use selected material for exhibitions, displays, catalogues and not-for-profit publications. The author should be fully credited in all such ventures.  Living authors should be offered the opportunity to participate fully in events and promotions, and, if collections contain highly personal materials, may wish to have a right of veto</w:t>
      </w:r>
      <w:r w:rsidR="002171C0">
        <w:rPr>
          <w:rFonts w:ascii="Trebuchet MS" w:hAnsi="Trebuchet MS" w:cs="Tahoma"/>
          <w:color w:val="000000"/>
          <w:sz w:val="22"/>
          <w:szCs w:val="22"/>
        </w:rPr>
        <w:t xml:space="preserve"> or closure</w:t>
      </w:r>
      <w:r w:rsidR="00540B21">
        <w:rPr>
          <w:rFonts w:ascii="Trebuchet MS" w:hAnsi="Trebuchet MS" w:cs="Tahoma"/>
          <w:color w:val="000000"/>
          <w:sz w:val="22"/>
          <w:szCs w:val="22"/>
        </w:rPr>
        <w:t xml:space="preserve"> over the selection of materials for display or publication.  As collections of literary papers are often newsworthy, arrangements for publicity should be fully discussed and agreed at the time of gift, bequest or deposit.</w:t>
      </w:r>
    </w:p>
    <w:p w:rsidR="00540B21" w:rsidRDefault="00540B21" w:rsidP="00540B21">
      <w:pPr>
        <w:pStyle w:val="NormalWeb"/>
        <w:rPr>
          <w:rFonts w:ascii="Trebuchet MS" w:hAnsi="Trebuchet MS" w:cs="Tahoma"/>
          <w:color w:val="000000"/>
          <w:sz w:val="22"/>
          <w:szCs w:val="22"/>
        </w:rPr>
      </w:pPr>
    </w:p>
    <w:p w:rsidR="00540B21" w:rsidRDefault="00540B21" w:rsidP="00540B21">
      <w:pPr>
        <w:autoSpaceDE w:val="0"/>
        <w:autoSpaceDN w:val="0"/>
        <w:adjustRightInd w:val="0"/>
        <w:spacing w:after="0" w:line="240" w:lineRule="auto"/>
        <w:rPr>
          <w:rFonts w:ascii="Trebuchet MS" w:hAnsi="Trebuchet MS" w:cs="Calibri"/>
          <w:lang w:val="en-GB"/>
        </w:rPr>
      </w:pPr>
    </w:p>
    <w:p w:rsidR="00540B21" w:rsidRDefault="0094280A" w:rsidP="00540B21">
      <w:pPr>
        <w:autoSpaceDE w:val="0"/>
        <w:autoSpaceDN w:val="0"/>
        <w:adjustRightInd w:val="0"/>
        <w:spacing w:after="0" w:line="240" w:lineRule="auto"/>
        <w:rPr>
          <w:rFonts w:ascii="Trebuchet MS" w:hAnsi="Trebuchet MS" w:cs="Tahoma"/>
          <w:color w:val="000000"/>
        </w:rPr>
      </w:pPr>
      <w:r>
        <w:rPr>
          <w:rFonts w:ascii="Trebuchet MS" w:hAnsi="Trebuchet MS" w:cs="Calibri"/>
          <w:b/>
        </w:rPr>
        <w:t>18</w:t>
      </w:r>
      <w:r w:rsidR="00540B21">
        <w:rPr>
          <w:rFonts w:ascii="Trebuchet MS" w:hAnsi="Trebuchet MS" w:cs="Calibri"/>
          <w:b/>
        </w:rPr>
        <w:t>. Terms of transfer: digitisation.</w:t>
      </w:r>
      <w:r w:rsidR="00540B21">
        <w:rPr>
          <w:rFonts w:ascii="Trebuchet MS" w:hAnsi="Trebuchet MS" w:cs="Calibri"/>
        </w:rPr>
        <w:t xml:space="preserve"> </w:t>
      </w:r>
      <w:r w:rsidR="00540B21">
        <w:rPr>
          <w:rFonts w:ascii="Trebuchet MS" w:hAnsi="Trebuchet MS" w:cs="Tahoma"/>
          <w:color w:val="000000"/>
        </w:rPr>
        <w:t xml:space="preserve">The deed of gift or deposit should have a clause </w:t>
      </w:r>
      <w:r w:rsidR="002171C0">
        <w:rPr>
          <w:rFonts w:ascii="Trebuchet MS" w:hAnsi="Trebuchet MS" w:cs="Tahoma"/>
          <w:color w:val="000000"/>
        </w:rPr>
        <w:t xml:space="preserve">on </w:t>
      </w:r>
      <w:r w:rsidR="00540B21">
        <w:rPr>
          <w:rFonts w:ascii="Trebuchet MS" w:hAnsi="Trebuchet MS" w:cs="Tahoma"/>
          <w:color w:val="000000"/>
        </w:rPr>
        <w:t xml:space="preserve">digitisation.  With literary archives a normal clause might be that digitisation would be "only by permission of the author during the author's lifetime". </w:t>
      </w:r>
      <w:r w:rsidR="002171C0">
        <w:rPr>
          <w:rFonts w:ascii="Trebuchet MS" w:hAnsi="Trebuchet MS" w:cs="Tahoma"/>
          <w:color w:val="000000"/>
        </w:rPr>
        <w:t>It is important to recognise</w:t>
      </w:r>
      <w:r w:rsidR="00540B21">
        <w:rPr>
          <w:rFonts w:ascii="Trebuchet MS" w:hAnsi="Trebuchet MS" w:cs="Tahoma"/>
          <w:color w:val="000000"/>
        </w:rPr>
        <w:t>, that researchers’ expectations are growing and that pressure for early digitisation of archival collections will continue to increase.</w:t>
      </w:r>
      <w:r w:rsidR="002171C0">
        <w:rPr>
          <w:rFonts w:ascii="Trebuchet MS" w:hAnsi="Trebuchet MS" w:cs="Tahoma"/>
          <w:color w:val="000000"/>
        </w:rPr>
        <w:t xml:space="preserve"> Digitisation can include commercial licensing to generate income and the author and receiving archive can discuss the potential and the terms of such an arrangement.</w:t>
      </w:r>
    </w:p>
    <w:p w:rsidR="00540B21" w:rsidRDefault="00540B21" w:rsidP="00540B21">
      <w:pPr>
        <w:autoSpaceDE w:val="0"/>
        <w:autoSpaceDN w:val="0"/>
        <w:adjustRightInd w:val="0"/>
        <w:spacing w:after="0" w:line="240" w:lineRule="auto"/>
        <w:rPr>
          <w:rFonts w:ascii="Trebuchet MS" w:hAnsi="Trebuchet MS" w:cs="Tahoma"/>
          <w:color w:val="000000"/>
        </w:rPr>
      </w:pPr>
    </w:p>
    <w:p w:rsidR="00540B21" w:rsidRDefault="00540B21" w:rsidP="00540B21">
      <w:pPr>
        <w:autoSpaceDE w:val="0"/>
        <w:autoSpaceDN w:val="0"/>
        <w:adjustRightInd w:val="0"/>
        <w:spacing w:after="0" w:line="240" w:lineRule="auto"/>
        <w:rPr>
          <w:rFonts w:ascii="Trebuchet MS" w:hAnsi="Trebuchet MS" w:cs="Calibri"/>
        </w:rPr>
      </w:pPr>
    </w:p>
    <w:p w:rsidR="00540B21" w:rsidRDefault="0094280A" w:rsidP="00540B21">
      <w:pPr>
        <w:autoSpaceDE w:val="0"/>
        <w:autoSpaceDN w:val="0"/>
        <w:adjustRightInd w:val="0"/>
        <w:spacing w:after="0" w:line="240" w:lineRule="auto"/>
        <w:rPr>
          <w:rFonts w:ascii="Trebuchet MS" w:hAnsi="Trebuchet MS" w:cs="Tahoma"/>
          <w:color w:val="000000"/>
        </w:rPr>
      </w:pPr>
      <w:r>
        <w:rPr>
          <w:rFonts w:ascii="Trebuchet MS" w:hAnsi="Trebuchet MS" w:cs="Calibri"/>
          <w:b/>
        </w:rPr>
        <w:t>19</w:t>
      </w:r>
      <w:r w:rsidR="00540B21">
        <w:rPr>
          <w:rFonts w:ascii="Trebuchet MS" w:hAnsi="Trebuchet MS" w:cs="Calibri"/>
          <w:b/>
        </w:rPr>
        <w:t>. Other considerations: conserving born-digital materials.</w:t>
      </w:r>
      <w:r w:rsidR="00540B21">
        <w:rPr>
          <w:rFonts w:ascii="Trebuchet MS" w:hAnsi="Trebuchet MS" w:cs="Calibri"/>
        </w:rPr>
        <w:t xml:space="preserve"> </w:t>
      </w:r>
      <w:r w:rsidR="002171C0">
        <w:rPr>
          <w:rFonts w:ascii="Trebuchet MS" w:hAnsi="Trebuchet MS" w:cs="Calibri"/>
        </w:rPr>
        <w:t xml:space="preserve">Many archivists now collect born-digital material, including emails, websites and documents. They are </w:t>
      </w:r>
      <w:r w:rsidR="002171C0">
        <w:rPr>
          <w:rFonts w:ascii="Trebuchet MS" w:hAnsi="Trebuchet MS" w:cs="Tahoma"/>
          <w:color w:val="000000"/>
        </w:rPr>
        <w:t>t</w:t>
      </w:r>
      <w:r w:rsidR="00540B21">
        <w:rPr>
          <w:rFonts w:ascii="Trebuchet MS" w:hAnsi="Trebuchet MS" w:cs="Tahoma"/>
          <w:color w:val="000000"/>
        </w:rPr>
        <w:t xml:space="preserve"> best </w:t>
      </w:r>
      <w:r w:rsidR="002171C0">
        <w:rPr>
          <w:rFonts w:ascii="Trebuchet MS" w:hAnsi="Trebuchet MS" w:cs="Tahoma"/>
          <w:color w:val="000000"/>
        </w:rPr>
        <w:t xml:space="preserve">placed </w:t>
      </w:r>
      <w:r w:rsidR="00540B21">
        <w:rPr>
          <w:rFonts w:ascii="Trebuchet MS" w:hAnsi="Trebuchet MS" w:cs="Tahoma"/>
          <w:color w:val="000000"/>
        </w:rPr>
        <w:t>to give advice about conservation of born-digital literary materials</w:t>
      </w:r>
      <w:r w:rsidR="002171C0">
        <w:rPr>
          <w:rFonts w:ascii="Trebuchet MS" w:hAnsi="Trebuchet MS" w:cs="Tahoma"/>
          <w:color w:val="000000"/>
        </w:rPr>
        <w:t>.</w:t>
      </w:r>
      <w:r w:rsidR="00540B21">
        <w:rPr>
          <w:rFonts w:ascii="Trebuchet MS" w:hAnsi="Trebuchet MS" w:cs="Tahoma"/>
          <w:color w:val="000000"/>
        </w:rPr>
        <w:t xml:space="preserve">  Advice should be sought at an early stage in cases where an author typically works straight onto a computer.</w:t>
      </w:r>
      <w:r w:rsidR="002171C0">
        <w:rPr>
          <w:rFonts w:ascii="Trebuchet MS" w:hAnsi="Trebuchet MS" w:cs="Tahoma"/>
          <w:color w:val="000000"/>
        </w:rPr>
        <w:t xml:space="preserve"> Authors who produce mainly digital drafts and documents should take steps to preserve access to these materials over time. Digital records require active preservation to ensure that they are accessible even in the short- to medium term. Basic advice and fu</w:t>
      </w:r>
      <w:r w:rsidR="0004513A">
        <w:rPr>
          <w:rFonts w:ascii="Trebuchet MS" w:hAnsi="Trebuchet MS" w:cs="Tahoma"/>
          <w:color w:val="000000"/>
        </w:rPr>
        <w:t>r</w:t>
      </w:r>
      <w:r w:rsidR="002171C0">
        <w:rPr>
          <w:rFonts w:ascii="Trebuchet MS" w:hAnsi="Trebuchet MS" w:cs="Tahoma"/>
          <w:color w:val="000000"/>
        </w:rPr>
        <w:t xml:space="preserve">ther sources are available online here: </w:t>
      </w:r>
      <w:hyperlink r:id="rId13" w:history="1">
        <w:r w:rsidR="002171C0" w:rsidRPr="00AF165E">
          <w:rPr>
            <w:rStyle w:val="Hyperlink"/>
            <w:rFonts w:ascii="Trebuchet MS" w:hAnsi="Trebuchet MS" w:cs="Tahoma"/>
          </w:rPr>
          <w:t>http://www.nationalarchives.gov.uk/documents/archives/digital-preservation-guidance-how-to-look-after-arts-records.pdf</w:t>
        </w:r>
      </w:hyperlink>
    </w:p>
    <w:p w:rsidR="00540B21" w:rsidRDefault="00540B21" w:rsidP="00540B21"/>
    <w:p w:rsidR="00540B21" w:rsidRDefault="0094280A" w:rsidP="00540B21">
      <w:pPr>
        <w:rPr>
          <w:rFonts w:ascii="Trebuchet MS" w:hAnsi="Trebuchet MS" w:cs="Tahoma"/>
          <w:color w:val="000000"/>
        </w:rPr>
      </w:pPr>
      <w:r>
        <w:rPr>
          <w:rFonts w:ascii="Trebuchet MS" w:hAnsi="Trebuchet MS" w:cs="Calibri"/>
          <w:b/>
        </w:rPr>
        <w:t>20</w:t>
      </w:r>
      <w:r w:rsidR="00540B21">
        <w:rPr>
          <w:rFonts w:ascii="Trebuchet MS" w:hAnsi="Trebuchet MS" w:cs="Calibri"/>
          <w:b/>
        </w:rPr>
        <w:t>. Other considerations: publishers and literary agents.</w:t>
      </w:r>
      <w:r w:rsidR="00540B21">
        <w:rPr>
          <w:rFonts w:ascii="Trebuchet MS" w:hAnsi="Trebuchet MS" w:cs="Calibri"/>
        </w:rPr>
        <w:t xml:space="preserve"> </w:t>
      </w:r>
      <w:r w:rsidR="00540B21">
        <w:rPr>
          <w:rFonts w:ascii="Trebuchet MS" w:hAnsi="Trebuchet MS" w:cs="Tahoma"/>
          <w:color w:val="000000"/>
        </w:rPr>
        <w:t xml:space="preserve">Authors who are entering into an arrangement with a collecting institution will wish to check with their publisher(s) and literary agent(s) as to which of their papers are held </w:t>
      </w:r>
      <w:r w:rsidR="002171C0">
        <w:rPr>
          <w:rFonts w:ascii="Trebuchet MS" w:hAnsi="Trebuchet MS" w:cs="Tahoma"/>
          <w:color w:val="000000"/>
        </w:rPr>
        <w:t>by those organisations</w:t>
      </w:r>
      <w:r w:rsidR="00540B21">
        <w:rPr>
          <w:rFonts w:ascii="Trebuchet MS" w:hAnsi="Trebuchet MS" w:cs="Tahoma"/>
          <w:color w:val="000000"/>
        </w:rPr>
        <w:t>.  It may happen that such papers should belong to the authors but have been retained by their representatives</w:t>
      </w:r>
      <w:r w:rsidR="002171C0">
        <w:rPr>
          <w:rFonts w:ascii="Trebuchet MS" w:hAnsi="Trebuchet MS" w:cs="Tahoma"/>
          <w:color w:val="000000"/>
        </w:rPr>
        <w:t>, or there may be a mixture of material. Again, publishers and agents should be involved in discussions where possible, especially where there are commercial or copyright considerations</w:t>
      </w:r>
      <w:r w:rsidR="00F43FDB">
        <w:rPr>
          <w:rFonts w:ascii="Trebuchet MS" w:hAnsi="Trebuchet MS" w:cs="Tahoma"/>
          <w:color w:val="000000"/>
        </w:rPr>
        <w:t>.</w:t>
      </w:r>
    </w:p>
    <w:p w:rsidR="00F85421" w:rsidRDefault="00F85421" w:rsidP="00540B21">
      <w:pPr>
        <w:rPr>
          <w:rFonts w:ascii="Trebuchet MS" w:hAnsi="Trebuchet MS" w:cs="Tahoma"/>
          <w:color w:val="000000"/>
        </w:rPr>
      </w:pPr>
    </w:p>
    <w:p w:rsidR="00F85421" w:rsidRDefault="00F85421" w:rsidP="00540B21">
      <w:pPr>
        <w:rPr>
          <w:rFonts w:ascii="Trebuchet MS" w:hAnsi="Trebuchet MS" w:cs="Tahoma"/>
          <w:color w:val="000000"/>
        </w:rPr>
      </w:pPr>
    </w:p>
    <w:p w:rsidR="00F85421" w:rsidRDefault="00F85421" w:rsidP="00540B21">
      <w:pPr>
        <w:rPr>
          <w:rFonts w:ascii="Trebuchet MS" w:hAnsi="Trebuchet MS" w:cs="Tahoma"/>
          <w:color w:val="000000"/>
        </w:rPr>
      </w:pPr>
    </w:p>
    <w:p w:rsidR="00F85421" w:rsidRDefault="00F85421" w:rsidP="00540B21">
      <w:pPr>
        <w:rPr>
          <w:rFonts w:ascii="Trebuchet MS" w:hAnsi="Trebuchet MS" w:cs="Tahoma"/>
          <w:color w:val="000000"/>
        </w:rPr>
      </w:pPr>
    </w:p>
    <w:p w:rsidR="00F85421" w:rsidRDefault="00F85421" w:rsidP="00540B21">
      <w:pPr>
        <w:rPr>
          <w:rFonts w:ascii="Trebuchet MS" w:hAnsi="Trebuchet MS" w:cs="Tahoma"/>
          <w:color w:val="000000"/>
        </w:rPr>
      </w:pPr>
    </w:p>
    <w:p w:rsidR="002171C0" w:rsidRDefault="002171C0" w:rsidP="00F85421">
      <w:pPr>
        <w:spacing w:after="0" w:line="257" w:lineRule="auto"/>
        <w:rPr>
          <w:rFonts w:ascii="Trebuchet MS" w:hAnsi="Trebuchet MS" w:cs="Tahoma"/>
          <w:color w:val="000000"/>
        </w:rPr>
      </w:pPr>
    </w:p>
    <w:p w:rsidR="00F85421" w:rsidRPr="00F85421" w:rsidRDefault="00F85421" w:rsidP="00F85421">
      <w:pPr>
        <w:spacing w:after="0" w:line="257" w:lineRule="auto"/>
        <w:rPr>
          <w:rFonts w:ascii="Trebuchet MS" w:hAnsi="Trebuchet MS" w:cs="Tahoma"/>
          <w:b/>
          <w:color w:val="000000" w:themeColor="text1"/>
        </w:rPr>
      </w:pPr>
      <w:r w:rsidRPr="00F85421">
        <w:rPr>
          <w:rFonts w:ascii="Trebuchet MS" w:hAnsi="Trebuchet MS" w:cs="Tahoma"/>
          <w:b/>
          <w:color w:val="000000" w:themeColor="text1"/>
        </w:rPr>
        <w:t>Consultation Draft, February 2015</w:t>
      </w:r>
    </w:p>
    <w:p w:rsidR="00F85421" w:rsidRDefault="00F85421" w:rsidP="00F85421">
      <w:pPr>
        <w:spacing w:after="0" w:line="257" w:lineRule="auto"/>
        <w:rPr>
          <w:rFonts w:ascii="Trebuchet MS" w:hAnsi="Trebuchet MS" w:cs="Tahoma"/>
          <w:color w:val="000000"/>
        </w:rPr>
      </w:pPr>
      <w:r>
        <w:rPr>
          <w:rFonts w:ascii="Trebuchet MS" w:hAnsi="Trebuchet MS" w:cs="Tahoma"/>
          <w:color w:val="000000"/>
        </w:rPr>
        <w:t>Compiled by representatives of;</w:t>
      </w:r>
    </w:p>
    <w:p w:rsidR="00F85421" w:rsidRDefault="00F85421" w:rsidP="00F85421">
      <w:pPr>
        <w:spacing w:after="0" w:line="257" w:lineRule="auto"/>
        <w:rPr>
          <w:rFonts w:ascii="Trebuchet MS" w:hAnsi="Trebuchet MS" w:cs="Tahoma"/>
          <w:color w:val="000000"/>
        </w:rPr>
      </w:pPr>
      <w:r>
        <w:rPr>
          <w:rFonts w:ascii="Trebuchet MS" w:hAnsi="Trebuchet MS" w:cs="Tahoma"/>
          <w:color w:val="000000"/>
        </w:rPr>
        <w:t>Diasporic Literary Archives Network (DLAN)</w:t>
      </w:r>
    </w:p>
    <w:p w:rsidR="002171C0" w:rsidRDefault="002171C0" w:rsidP="00F85421">
      <w:pPr>
        <w:spacing w:after="0" w:line="257" w:lineRule="auto"/>
        <w:rPr>
          <w:rFonts w:ascii="Trebuchet MS" w:hAnsi="Trebuchet MS" w:cs="Tahoma"/>
          <w:color w:val="000000"/>
        </w:rPr>
      </w:pPr>
      <w:r>
        <w:rPr>
          <w:rFonts w:ascii="Trebuchet MS" w:hAnsi="Trebuchet MS" w:cs="Tahoma"/>
          <w:color w:val="000000"/>
        </w:rPr>
        <w:t>Group for Literary Archives an</w:t>
      </w:r>
      <w:r w:rsidR="00F85421">
        <w:rPr>
          <w:rFonts w:ascii="Trebuchet MS" w:hAnsi="Trebuchet MS" w:cs="Tahoma"/>
          <w:color w:val="000000"/>
        </w:rPr>
        <w:t>d Manuscripts (GLAM)</w:t>
      </w:r>
    </w:p>
    <w:p w:rsidR="00F85421" w:rsidRDefault="00F85421" w:rsidP="00F85421">
      <w:pPr>
        <w:spacing w:after="0" w:line="257" w:lineRule="auto"/>
        <w:rPr>
          <w:rFonts w:ascii="Trebuchet MS" w:hAnsi="Trebuchet MS" w:cs="Tahoma"/>
          <w:color w:val="000000"/>
        </w:rPr>
      </w:pPr>
      <w:r>
        <w:rPr>
          <w:rFonts w:ascii="Trebuchet MS" w:hAnsi="Trebuchet MS" w:cs="Tahoma"/>
          <w:color w:val="000000"/>
        </w:rPr>
        <w:t>Society of Authors (SoA)</w:t>
      </w:r>
    </w:p>
    <w:p w:rsidR="00F85421" w:rsidRDefault="00F85421" w:rsidP="00F85421">
      <w:pPr>
        <w:spacing w:after="0" w:line="257" w:lineRule="auto"/>
        <w:rPr>
          <w:rFonts w:ascii="Trebuchet MS" w:hAnsi="Trebuchet MS" w:cs="Tahoma"/>
          <w:color w:val="000000"/>
        </w:rPr>
      </w:pPr>
      <w:r>
        <w:rPr>
          <w:rFonts w:ascii="Trebuchet MS" w:hAnsi="Trebuchet MS" w:cs="Tahoma"/>
          <w:color w:val="000000"/>
        </w:rPr>
        <w:t>The National Archives (TNA)</w:t>
      </w:r>
    </w:p>
    <w:p w:rsidR="002171C0" w:rsidRDefault="002171C0" w:rsidP="00540B21"/>
    <w:p w:rsidR="00923B00" w:rsidRPr="00F85421" w:rsidRDefault="00097288" w:rsidP="00F85421">
      <w:pPr>
        <w:spacing w:after="0" w:line="257" w:lineRule="auto"/>
        <w:rPr>
          <w:rFonts w:ascii="Trebuchet MS" w:hAnsi="Trebuchet MS"/>
          <w:b/>
        </w:rPr>
      </w:pPr>
      <w:r w:rsidRPr="00F85421">
        <w:rPr>
          <w:rFonts w:ascii="Trebuchet MS" w:hAnsi="Trebuchet MS"/>
          <w:b/>
        </w:rPr>
        <w:t>Other sources of guidance</w:t>
      </w:r>
      <w:r w:rsidR="00F85421">
        <w:rPr>
          <w:rFonts w:ascii="Trebuchet MS" w:hAnsi="Trebuchet MS"/>
          <w:b/>
        </w:rPr>
        <w:t>:</w:t>
      </w:r>
    </w:p>
    <w:p w:rsidR="00097288" w:rsidRDefault="00097288" w:rsidP="00F85421">
      <w:pPr>
        <w:spacing w:after="0" w:line="257" w:lineRule="auto"/>
        <w:rPr>
          <w:rStyle w:val="Hyperlink"/>
          <w:rFonts w:ascii="Trebuchet MS" w:hAnsi="Trebuchet MS"/>
        </w:rPr>
      </w:pPr>
      <w:r w:rsidRPr="00F85421">
        <w:rPr>
          <w:rFonts w:ascii="Trebuchet MS" w:hAnsi="Trebuchet MS"/>
          <w:color w:val="000000" w:themeColor="text1"/>
        </w:rPr>
        <w:t xml:space="preserve">Hull </w:t>
      </w:r>
      <w:r w:rsidR="00F85421">
        <w:rPr>
          <w:rFonts w:ascii="Trebuchet MS" w:hAnsi="Trebuchet MS"/>
          <w:color w:val="000000" w:themeColor="text1"/>
        </w:rPr>
        <w:t xml:space="preserve">History Centre, Personal Papers: </w:t>
      </w:r>
      <w:hyperlink r:id="rId14" w:history="1">
        <w:r w:rsidRPr="00F85421">
          <w:rPr>
            <w:rStyle w:val="Hyperlink"/>
            <w:rFonts w:ascii="Trebuchet MS" w:hAnsi="Trebuchet MS"/>
          </w:rPr>
          <w:t>http://www.hullhistorycentre.org.uk/discover/hull_history_centre/about_us/caring_for_the_collections/personalpaper.aspx</w:t>
        </w:r>
      </w:hyperlink>
    </w:p>
    <w:p w:rsidR="00F85421" w:rsidRPr="00F85421" w:rsidRDefault="00F85421" w:rsidP="00F85421">
      <w:pPr>
        <w:spacing w:after="0" w:line="257" w:lineRule="auto"/>
        <w:rPr>
          <w:rFonts w:ascii="Trebuchet MS" w:hAnsi="Trebuchet MS"/>
          <w:color w:val="1F497D"/>
        </w:rPr>
      </w:pPr>
    </w:p>
    <w:p w:rsidR="00097288" w:rsidRPr="00F85421" w:rsidRDefault="00097288" w:rsidP="00F85421">
      <w:pPr>
        <w:spacing w:after="0" w:line="257" w:lineRule="auto"/>
        <w:rPr>
          <w:rFonts w:ascii="Trebuchet MS" w:hAnsi="Trebuchet MS"/>
          <w:color w:val="1F497D"/>
        </w:rPr>
      </w:pPr>
      <w:r w:rsidRPr="00F85421">
        <w:rPr>
          <w:rFonts w:ascii="Trebuchet MS" w:hAnsi="Trebuchet MS"/>
          <w:color w:val="000000" w:themeColor="text1"/>
        </w:rPr>
        <w:t>Staffordshire Archives Safekeeping</w:t>
      </w:r>
      <w:r w:rsidR="00F85421">
        <w:rPr>
          <w:rFonts w:ascii="Trebuchet MS" w:hAnsi="Trebuchet MS"/>
          <w:color w:val="000000" w:themeColor="text1"/>
        </w:rPr>
        <w:t>:</w:t>
      </w:r>
      <w:r w:rsidRPr="00F85421">
        <w:rPr>
          <w:rFonts w:ascii="Trebuchet MS" w:hAnsi="Trebuchet MS"/>
          <w:color w:val="000000" w:themeColor="text1"/>
        </w:rPr>
        <w:t xml:space="preserve"> </w:t>
      </w:r>
      <w:hyperlink r:id="rId15" w:history="1">
        <w:r w:rsidRPr="00F85421">
          <w:rPr>
            <w:rStyle w:val="Hyperlink"/>
            <w:rFonts w:ascii="Trebuchet MS" w:hAnsi="Trebuchet MS"/>
          </w:rPr>
          <w:t>http://www.staffordshire.gov.uk/Resources/Documents/i/InformationLeaflet03Insafekeeping.pdf</w:t>
        </w:r>
      </w:hyperlink>
    </w:p>
    <w:p w:rsidR="00097288" w:rsidRDefault="00097288" w:rsidP="00F85421">
      <w:pPr>
        <w:spacing w:after="0" w:line="257" w:lineRule="auto"/>
        <w:rPr>
          <w:rFonts w:ascii="Trebuchet MS" w:hAnsi="Trebuchet MS"/>
        </w:rPr>
      </w:pPr>
      <w:r w:rsidRPr="00F85421">
        <w:rPr>
          <w:rFonts w:ascii="Trebuchet MS" w:hAnsi="Trebuchet MS"/>
          <w:color w:val="000000" w:themeColor="text1"/>
        </w:rPr>
        <w:t>Religious Archives Group, Advice on Personal Papers</w:t>
      </w:r>
      <w:r w:rsidR="00F85421">
        <w:rPr>
          <w:rFonts w:ascii="Trebuchet MS" w:hAnsi="Trebuchet MS"/>
          <w:color w:val="000000" w:themeColor="text1"/>
        </w:rPr>
        <w:t>:</w:t>
      </w:r>
      <w:r w:rsidRPr="00F85421">
        <w:rPr>
          <w:rFonts w:ascii="Trebuchet MS" w:hAnsi="Trebuchet MS"/>
          <w:color w:val="000000" w:themeColor="text1"/>
        </w:rPr>
        <w:t xml:space="preserve"> </w:t>
      </w:r>
      <w:hyperlink r:id="rId16" w:history="1">
        <w:r w:rsidR="00F85421" w:rsidRPr="00002FA3">
          <w:rPr>
            <w:rStyle w:val="Hyperlink"/>
            <w:rFonts w:ascii="Trebuchet MS" w:hAnsi="Trebuchet MS"/>
          </w:rPr>
          <w:t>http://religiousarchivesgroup.org.uk/advice/rag</w:t>
        </w:r>
      </w:hyperlink>
    </w:p>
    <w:p w:rsidR="00F85421" w:rsidRPr="00F85421" w:rsidRDefault="00F85421" w:rsidP="00F85421">
      <w:pPr>
        <w:spacing w:after="0" w:line="257" w:lineRule="auto"/>
        <w:rPr>
          <w:rFonts w:ascii="Trebuchet MS" w:hAnsi="Trebuchet MS"/>
          <w:color w:val="1F497D"/>
        </w:rPr>
      </w:pPr>
    </w:p>
    <w:p w:rsidR="00097288" w:rsidRDefault="00097288" w:rsidP="00F85421">
      <w:pPr>
        <w:spacing w:after="0" w:line="257" w:lineRule="auto"/>
        <w:rPr>
          <w:rStyle w:val="Hyperlink"/>
          <w:rFonts w:ascii="Trebuchet MS" w:hAnsi="Trebuchet MS"/>
        </w:rPr>
      </w:pPr>
      <w:r w:rsidRPr="00F85421">
        <w:rPr>
          <w:rFonts w:ascii="Trebuchet MS" w:hAnsi="Trebuchet MS"/>
          <w:color w:val="000000" w:themeColor="text1"/>
        </w:rPr>
        <w:t>The National Archives, Advice on Deposit</w:t>
      </w:r>
      <w:r w:rsidR="00F85421">
        <w:rPr>
          <w:rFonts w:ascii="Trebuchet MS" w:hAnsi="Trebuchet MS"/>
          <w:color w:val="000000" w:themeColor="text1"/>
        </w:rPr>
        <w:t>:</w:t>
      </w:r>
      <w:r w:rsidRPr="00F85421">
        <w:rPr>
          <w:rFonts w:ascii="Trebuchet MS" w:hAnsi="Trebuchet MS"/>
          <w:color w:val="000000" w:themeColor="text1"/>
        </w:rPr>
        <w:t xml:space="preserve"> </w:t>
      </w:r>
      <w:hyperlink r:id="rId17" w:history="1">
        <w:r w:rsidRPr="00F85421">
          <w:rPr>
            <w:rStyle w:val="Hyperlink"/>
            <w:rFonts w:ascii="Trebuchet MS" w:hAnsi="Trebuchet MS"/>
          </w:rPr>
          <w:t>http://www.nationalarchives.gov.uk/documents/archives/loanagreement.pdf</w:t>
        </w:r>
      </w:hyperlink>
    </w:p>
    <w:p w:rsidR="00F85421" w:rsidRPr="00F85421" w:rsidRDefault="00F85421" w:rsidP="00F85421">
      <w:pPr>
        <w:spacing w:after="0" w:line="257" w:lineRule="auto"/>
        <w:rPr>
          <w:rFonts w:ascii="Trebuchet MS" w:hAnsi="Trebuchet MS"/>
          <w:color w:val="1F497D"/>
        </w:rPr>
      </w:pPr>
    </w:p>
    <w:p w:rsidR="00097288" w:rsidRDefault="00097288" w:rsidP="00F85421">
      <w:pPr>
        <w:spacing w:after="0" w:line="257" w:lineRule="auto"/>
        <w:rPr>
          <w:rStyle w:val="Hyperlink"/>
          <w:rFonts w:ascii="Trebuchet MS" w:hAnsi="Trebuchet MS"/>
        </w:rPr>
      </w:pPr>
      <w:r w:rsidRPr="00F85421">
        <w:rPr>
          <w:rFonts w:ascii="Trebuchet MS" w:hAnsi="Trebuchet MS"/>
          <w:color w:val="000000" w:themeColor="text1"/>
        </w:rPr>
        <w:t>The National Archives, Ar</w:t>
      </w:r>
      <w:r w:rsidR="00100720" w:rsidRPr="00F85421">
        <w:rPr>
          <w:rFonts w:ascii="Trebuchet MS" w:hAnsi="Trebuchet MS"/>
          <w:color w:val="000000" w:themeColor="text1"/>
        </w:rPr>
        <w:t>chival Principles and Practice</w:t>
      </w:r>
      <w:r w:rsidR="00F85421">
        <w:rPr>
          <w:rFonts w:ascii="Trebuchet MS" w:hAnsi="Trebuchet MS"/>
          <w:color w:val="000000" w:themeColor="text1"/>
        </w:rPr>
        <w:t>:</w:t>
      </w:r>
      <w:r w:rsidR="00100720" w:rsidRPr="00F85421">
        <w:rPr>
          <w:rFonts w:ascii="Trebuchet MS" w:hAnsi="Trebuchet MS"/>
          <w:color w:val="000000" w:themeColor="text1"/>
        </w:rPr>
        <w:t xml:space="preserve"> </w:t>
      </w:r>
      <w:hyperlink r:id="rId18" w:history="1">
        <w:r w:rsidRPr="00F85421">
          <w:rPr>
            <w:rStyle w:val="Hyperlink"/>
            <w:rFonts w:ascii="Trebuchet MS" w:hAnsi="Trebuchet MS"/>
          </w:rPr>
          <w:t>http://www.nationalarchives.gov.uk/documents/information-management/archive-principles-and-practice-an-introduction-to-archives-for-non-archivists.pdf</w:t>
        </w:r>
      </w:hyperlink>
    </w:p>
    <w:p w:rsidR="00F85421" w:rsidRPr="00F85421" w:rsidRDefault="00F85421" w:rsidP="00F85421">
      <w:pPr>
        <w:spacing w:after="0" w:line="257" w:lineRule="auto"/>
        <w:rPr>
          <w:rFonts w:ascii="Trebuchet MS" w:hAnsi="Trebuchet MS"/>
          <w:color w:val="1F497D"/>
        </w:rPr>
      </w:pPr>
    </w:p>
    <w:p w:rsidR="00100720" w:rsidRPr="00F85421" w:rsidRDefault="00100720" w:rsidP="00F85421">
      <w:pPr>
        <w:spacing w:after="0" w:line="257" w:lineRule="auto"/>
        <w:rPr>
          <w:rFonts w:ascii="Trebuchet MS" w:hAnsi="Trebuchet MS"/>
        </w:rPr>
      </w:pPr>
      <w:r w:rsidRPr="00F85421">
        <w:rPr>
          <w:rFonts w:ascii="Trebuchet MS" w:hAnsi="Trebuchet MS"/>
          <w:color w:val="000000" w:themeColor="text1"/>
        </w:rPr>
        <w:t>The National Archives, Archiving the Arts resources</w:t>
      </w:r>
      <w:r w:rsidR="00F85421">
        <w:rPr>
          <w:rFonts w:ascii="Trebuchet MS" w:hAnsi="Trebuchet MS"/>
          <w:color w:val="000000" w:themeColor="text1"/>
        </w:rPr>
        <w:t>:</w:t>
      </w:r>
      <w:r w:rsidRPr="00F85421">
        <w:rPr>
          <w:rFonts w:ascii="Trebuchet MS" w:hAnsi="Trebuchet MS"/>
          <w:color w:val="000000" w:themeColor="text1"/>
        </w:rPr>
        <w:t xml:space="preserve"> </w:t>
      </w:r>
      <w:hyperlink r:id="rId19" w:history="1">
        <w:r w:rsidRPr="00F85421">
          <w:rPr>
            <w:rStyle w:val="Hyperlink"/>
            <w:rFonts w:ascii="Trebuchet MS" w:hAnsi="Trebuchet MS"/>
          </w:rPr>
          <w:t>http://www.nationalarchives.gov.uk/archives-sector/archiving-the-arts-resources.htm</w:t>
        </w:r>
      </w:hyperlink>
      <w:r w:rsidRPr="00F85421">
        <w:rPr>
          <w:rFonts w:ascii="Trebuchet MS" w:hAnsi="Trebuchet MS"/>
          <w:color w:val="1F497D"/>
        </w:rPr>
        <w:t xml:space="preserve"> </w:t>
      </w:r>
    </w:p>
    <w:p w:rsidR="00097288" w:rsidRDefault="00097288"/>
    <w:sectPr w:rsidR="000972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94EB3"/>
    <w:multiLevelType w:val="hybridMultilevel"/>
    <w:tmpl w:val="C0E81C48"/>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1">
    <w:nsid w:val="6B167378"/>
    <w:multiLevelType w:val="hybridMultilevel"/>
    <w:tmpl w:val="DB084CD6"/>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21"/>
    <w:rsid w:val="00032FFC"/>
    <w:rsid w:val="0004513A"/>
    <w:rsid w:val="00097288"/>
    <w:rsid w:val="00100720"/>
    <w:rsid w:val="001A4404"/>
    <w:rsid w:val="002171C0"/>
    <w:rsid w:val="00277615"/>
    <w:rsid w:val="00413957"/>
    <w:rsid w:val="00540B21"/>
    <w:rsid w:val="00562E71"/>
    <w:rsid w:val="007A6FC3"/>
    <w:rsid w:val="007C0097"/>
    <w:rsid w:val="008A135B"/>
    <w:rsid w:val="00923B00"/>
    <w:rsid w:val="00933A75"/>
    <w:rsid w:val="0094280A"/>
    <w:rsid w:val="00AF165E"/>
    <w:rsid w:val="00B44A6E"/>
    <w:rsid w:val="00B835A1"/>
    <w:rsid w:val="00D73370"/>
    <w:rsid w:val="00DA7DE4"/>
    <w:rsid w:val="00F43FDB"/>
    <w:rsid w:val="00F85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B21"/>
    <w:pPr>
      <w:spacing w:after="160" w:line="25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B21"/>
    <w:rPr>
      <w:color w:val="0000FF" w:themeColor="hyperlink"/>
      <w:u w:val="single"/>
    </w:rPr>
  </w:style>
  <w:style w:type="paragraph" w:styleId="NormalWeb">
    <w:name w:val="Normal (Web)"/>
    <w:basedOn w:val="Normal"/>
    <w:uiPriority w:val="99"/>
    <w:unhideWhenUsed/>
    <w:rsid w:val="00540B21"/>
    <w:pPr>
      <w:spacing w:after="0" w:line="240" w:lineRule="auto"/>
    </w:pPr>
    <w:rPr>
      <w:rFonts w:ascii="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923B00"/>
    <w:rPr>
      <w:sz w:val="16"/>
      <w:szCs w:val="16"/>
    </w:rPr>
  </w:style>
  <w:style w:type="paragraph" w:styleId="CommentText">
    <w:name w:val="annotation text"/>
    <w:basedOn w:val="Normal"/>
    <w:link w:val="CommentTextChar"/>
    <w:uiPriority w:val="99"/>
    <w:semiHidden/>
    <w:unhideWhenUsed/>
    <w:rsid w:val="00923B00"/>
    <w:pPr>
      <w:spacing w:line="240" w:lineRule="auto"/>
    </w:pPr>
    <w:rPr>
      <w:sz w:val="20"/>
      <w:szCs w:val="20"/>
    </w:rPr>
  </w:style>
  <w:style w:type="character" w:customStyle="1" w:styleId="CommentTextChar">
    <w:name w:val="Comment Text Char"/>
    <w:basedOn w:val="DefaultParagraphFont"/>
    <w:link w:val="CommentText"/>
    <w:uiPriority w:val="99"/>
    <w:semiHidden/>
    <w:rsid w:val="00923B00"/>
    <w:rPr>
      <w:sz w:val="20"/>
      <w:szCs w:val="20"/>
      <w:lang w:val="en-CA"/>
    </w:rPr>
  </w:style>
  <w:style w:type="paragraph" w:styleId="CommentSubject">
    <w:name w:val="annotation subject"/>
    <w:basedOn w:val="CommentText"/>
    <w:next w:val="CommentText"/>
    <w:link w:val="CommentSubjectChar"/>
    <w:uiPriority w:val="99"/>
    <w:semiHidden/>
    <w:unhideWhenUsed/>
    <w:rsid w:val="00923B00"/>
    <w:rPr>
      <w:b/>
      <w:bCs/>
    </w:rPr>
  </w:style>
  <w:style w:type="character" w:customStyle="1" w:styleId="CommentSubjectChar">
    <w:name w:val="Comment Subject Char"/>
    <w:basedOn w:val="CommentTextChar"/>
    <w:link w:val="CommentSubject"/>
    <w:uiPriority w:val="99"/>
    <w:semiHidden/>
    <w:rsid w:val="00923B00"/>
    <w:rPr>
      <w:b/>
      <w:bCs/>
      <w:sz w:val="20"/>
      <w:szCs w:val="20"/>
      <w:lang w:val="en-CA"/>
    </w:rPr>
  </w:style>
  <w:style w:type="paragraph" w:styleId="BalloonText">
    <w:name w:val="Balloon Text"/>
    <w:basedOn w:val="Normal"/>
    <w:link w:val="BalloonTextChar"/>
    <w:uiPriority w:val="99"/>
    <w:semiHidden/>
    <w:unhideWhenUsed/>
    <w:rsid w:val="00923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B00"/>
    <w:rPr>
      <w:rFonts w:ascii="Tahoma" w:hAnsi="Tahoma" w:cs="Tahoma"/>
      <w:sz w:val="16"/>
      <w:szCs w:val="16"/>
      <w:lang w:val="en-CA"/>
    </w:rPr>
  </w:style>
  <w:style w:type="paragraph" w:styleId="ListParagraph">
    <w:name w:val="List Paragraph"/>
    <w:basedOn w:val="Normal"/>
    <w:uiPriority w:val="34"/>
    <w:qFormat/>
    <w:rsid w:val="00923B00"/>
    <w:pPr>
      <w:ind w:left="720"/>
      <w:contextualSpacing/>
    </w:pPr>
  </w:style>
  <w:style w:type="character" w:styleId="FollowedHyperlink">
    <w:name w:val="FollowedHyperlink"/>
    <w:basedOn w:val="DefaultParagraphFont"/>
    <w:uiPriority w:val="99"/>
    <w:semiHidden/>
    <w:unhideWhenUsed/>
    <w:rsid w:val="00DA7D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B21"/>
    <w:pPr>
      <w:spacing w:after="160" w:line="25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B21"/>
    <w:rPr>
      <w:color w:val="0000FF" w:themeColor="hyperlink"/>
      <w:u w:val="single"/>
    </w:rPr>
  </w:style>
  <w:style w:type="paragraph" w:styleId="NormalWeb">
    <w:name w:val="Normal (Web)"/>
    <w:basedOn w:val="Normal"/>
    <w:uiPriority w:val="99"/>
    <w:unhideWhenUsed/>
    <w:rsid w:val="00540B21"/>
    <w:pPr>
      <w:spacing w:after="0" w:line="240" w:lineRule="auto"/>
    </w:pPr>
    <w:rPr>
      <w:rFonts w:ascii="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923B00"/>
    <w:rPr>
      <w:sz w:val="16"/>
      <w:szCs w:val="16"/>
    </w:rPr>
  </w:style>
  <w:style w:type="paragraph" w:styleId="CommentText">
    <w:name w:val="annotation text"/>
    <w:basedOn w:val="Normal"/>
    <w:link w:val="CommentTextChar"/>
    <w:uiPriority w:val="99"/>
    <w:semiHidden/>
    <w:unhideWhenUsed/>
    <w:rsid w:val="00923B00"/>
    <w:pPr>
      <w:spacing w:line="240" w:lineRule="auto"/>
    </w:pPr>
    <w:rPr>
      <w:sz w:val="20"/>
      <w:szCs w:val="20"/>
    </w:rPr>
  </w:style>
  <w:style w:type="character" w:customStyle="1" w:styleId="CommentTextChar">
    <w:name w:val="Comment Text Char"/>
    <w:basedOn w:val="DefaultParagraphFont"/>
    <w:link w:val="CommentText"/>
    <w:uiPriority w:val="99"/>
    <w:semiHidden/>
    <w:rsid w:val="00923B00"/>
    <w:rPr>
      <w:sz w:val="20"/>
      <w:szCs w:val="20"/>
      <w:lang w:val="en-CA"/>
    </w:rPr>
  </w:style>
  <w:style w:type="paragraph" w:styleId="CommentSubject">
    <w:name w:val="annotation subject"/>
    <w:basedOn w:val="CommentText"/>
    <w:next w:val="CommentText"/>
    <w:link w:val="CommentSubjectChar"/>
    <w:uiPriority w:val="99"/>
    <w:semiHidden/>
    <w:unhideWhenUsed/>
    <w:rsid w:val="00923B00"/>
    <w:rPr>
      <w:b/>
      <w:bCs/>
    </w:rPr>
  </w:style>
  <w:style w:type="character" w:customStyle="1" w:styleId="CommentSubjectChar">
    <w:name w:val="Comment Subject Char"/>
    <w:basedOn w:val="CommentTextChar"/>
    <w:link w:val="CommentSubject"/>
    <w:uiPriority w:val="99"/>
    <w:semiHidden/>
    <w:rsid w:val="00923B00"/>
    <w:rPr>
      <w:b/>
      <w:bCs/>
      <w:sz w:val="20"/>
      <w:szCs w:val="20"/>
      <w:lang w:val="en-CA"/>
    </w:rPr>
  </w:style>
  <w:style w:type="paragraph" w:styleId="BalloonText">
    <w:name w:val="Balloon Text"/>
    <w:basedOn w:val="Normal"/>
    <w:link w:val="BalloonTextChar"/>
    <w:uiPriority w:val="99"/>
    <w:semiHidden/>
    <w:unhideWhenUsed/>
    <w:rsid w:val="00923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B00"/>
    <w:rPr>
      <w:rFonts w:ascii="Tahoma" w:hAnsi="Tahoma" w:cs="Tahoma"/>
      <w:sz w:val="16"/>
      <w:szCs w:val="16"/>
      <w:lang w:val="en-CA"/>
    </w:rPr>
  </w:style>
  <w:style w:type="paragraph" w:styleId="ListParagraph">
    <w:name w:val="List Paragraph"/>
    <w:basedOn w:val="Normal"/>
    <w:uiPriority w:val="34"/>
    <w:qFormat/>
    <w:rsid w:val="00923B00"/>
    <w:pPr>
      <w:ind w:left="720"/>
      <w:contextualSpacing/>
    </w:pPr>
  </w:style>
  <w:style w:type="character" w:styleId="FollowedHyperlink">
    <w:name w:val="FollowedHyperlink"/>
    <w:basedOn w:val="DefaultParagraphFont"/>
    <w:uiPriority w:val="99"/>
    <w:semiHidden/>
    <w:unhideWhenUsed/>
    <w:rsid w:val="00DA7D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091269">
      <w:bodyDiv w:val="1"/>
      <w:marLeft w:val="0"/>
      <w:marRight w:val="0"/>
      <w:marTop w:val="0"/>
      <w:marBottom w:val="0"/>
      <w:divBdr>
        <w:top w:val="none" w:sz="0" w:space="0" w:color="auto"/>
        <w:left w:val="none" w:sz="0" w:space="0" w:color="auto"/>
        <w:bottom w:val="none" w:sz="0" w:space="0" w:color="auto"/>
        <w:right w:val="none" w:sz="0" w:space="0" w:color="auto"/>
      </w:divBdr>
    </w:div>
    <w:div w:id="155812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archives.gov.uk/accessions/" TargetMode="External"/><Relationship Id="rId13" Type="http://schemas.openxmlformats.org/officeDocument/2006/relationships/hyperlink" Target="http://www.nationalarchives.gov.uk/documents/archives/digital-preservation-guidance-how-to-look-after-arts-records.pdf" TargetMode="External"/><Relationship Id="rId18" Type="http://schemas.openxmlformats.org/officeDocument/2006/relationships/hyperlink" Target="http://www.nationalarchives.gov.uk/documents/information-management/archive-principles-and-practice-an-introduction-to-archives-for-non-archivists.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discovery.nationalarchives.gov.uk/advanced-search" TargetMode="External"/><Relationship Id="rId12" Type="http://schemas.openxmlformats.org/officeDocument/2006/relationships/hyperlink" Target="https://www.gov.uk/government/organisations/intellectual-property-office" TargetMode="External"/><Relationship Id="rId17" Type="http://schemas.openxmlformats.org/officeDocument/2006/relationships/hyperlink" Target="http://www.nationalarchives.gov.uk/documents/archives/loanagreement.pdf" TargetMode="External"/><Relationship Id="rId2" Type="http://schemas.openxmlformats.org/officeDocument/2006/relationships/styles" Target="styles.xml"/><Relationship Id="rId16" Type="http://schemas.openxmlformats.org/officeDocument/2006/relationships/hyperlink" Target="http://religiousarchivesgroup.org.uk/advice/ra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ocationregister.com" TargetMode="External"/><Relationship Id="rId11" Type="http://schemas.openxmlformats.org/officeDocument/2006/relationships/hyperlink" Target="http://www.bl.uk/aboutus/stratpolprog/collectioncare/publications/booklets/basic_preservation.pdf" TargetMode="External"/><Relationship Id="rId5" Type="http://schemas.openxmlformats.org/officeDocument/2006/relationships/webSettings" Target="webSettings.xml"/><Relationship Id="rId15" Type="http://schemas.openxmlformats.org/officeDocument/2006/relationships/hyperlink" Target="http://www.staffordshire.gov.uk/Resources/Documents/i/InformationLeaflet03Insafekeeping.pdf" TargetMode="External"/><Relationship Id="rId10" Type="http://schemas.openxmlformats.org/officeDocument/2006/relationships/hyperlink" Target="http://www.nationalarchives.gov.uk/archives-sector/cultural-property.htm" TargetMode="External"/><Relationship Id="rId19" Type="http://schemas.openxmlformats.org/officeDocument/2006/relationships/hyperlink" Target="http://www.nationalarchives.gov.uk/archives-sector/archiving-the-arts-resources.htm" TargetMode="External"/><Relationship Id="rId4" Type="http://schemas.openxmlformats.org/officeDocument/2006/relationships/settings" Target="settings.xml"/><Relationship Id="rId9" Type="http://schemas.openxmlformats.org/officeDocument/2006/relationships/hyperlink" Target="http://www.nationalarchives.gov.uk/archives-sector/cultural-property.htm" TargetMode="External"/><Relationship Id="rId14" Type="http://schemas.openxmlformats.org/officeDocument/2006/relationships/hyperlink" Target="http://www.hullhistorycentre.org.uk/discover/hull_history_centre/about_us/caring_for_the_collections/personalpap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2578</Words>
  <Characters>14699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The National Archives</Company>
  <LinksUpToDate>false</LinksUpToDate>
  <CharactersWithSpaces>17243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Soper, Fleur</dc:creator>
  <cp:lastModifiedBy>Sophiee</cp:lastModifiedBy>
  <cp:revision>2</cp:revision>
  <dcterms:created xsi:type="dcterms:W3CDTF">2015-08-06T18:38:00Z</dcterms:created>
  <dcterms:modified xsi:type="dcterms:W3CDTF">2015-08-06T18:38:00Z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A3836340</vt:lpwstr>
  </property>
  <property fmtid="{D5CDD505-2E9C-101B-9397-08002B2CF9AE}" pid="4" name="Objective-Title">
    <vt:lpwstr>Authors and their papers - a guidance sheet v.6.2a Nat Archives feedback2</vt:lpwstr>
  </property>
  <property fmtid="{D5CDD505-2E9C-101B-9397-08002B2CF9AE}" pid="5" name="Objective-Comment">
    <vt:lpwstr>
    </vt:lpwstr>
  </property>
  <property fmtid="{D5CDD505-2E9C-101B-9397-08002B2CF9AE}" pid="6" name="Objective-CreationStamp">
    <vt:filetime>2014-12-02T11:30:59Z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2014-12-02T14:16:24Z</vt:filetime>
  </property>
  <property fmtid="{D5CDD505-2E9C-101B-9397-08002B2CF9AE}" pid="11" name="Objective-Owner">
    <vt:lpwstr>Fleur Soper</vt:lpwstr>
  </property>
  <property fmtid="{D5CDD505-2E9C-101B-9397-08002B2CF9AE}" pid="12" name="Objective-Path">
    <vt:lpwstr>File Plan:Archives Sector Development:Collections Strategies (moved from Research and Collections Development):Archiving the Arts:Archiving the Arts contact with individual organisations and projects:GLAM:</vt:lpwstr>
  </property>
  <property fmtid="{D5CDD505-2E9C-101B-9397-08002B2CF9AE}" pid="13" name="Objective-Parent">
    <vt:lpwstr>GLAM</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i4>4</vt:i4>
  </property>
  <property fmtid="{D5CDD505-2E9C-101B-9397-08002B2CF9AE}" pid="17" name="Objective-VersionComment">
    <vt:lpwstr>
    </vt:lpwstr>
  </property>
  <property fmtid="{D5CDD505-2E9C-101B-9397-08002B2CF9AE}" pid="18" name="Objective-FileNumber">
    <vt:lpwstr>qA41855</vt:lpwstr>
  </property>
  <property fmtid="{D5CDD505-2E9C-101B-9397-08002B2CF9AE}" pid="19" name="Objective-Classification">
    <vt:lpwstr>[Inherited - none]</vt:lpwstr>
  </property>
  <property fmtid="{D5CDD505-2E9C-101B-9397-08002B2CF9AE}" pid="20" name="Objective-Caveats">
    <vt:lpwstr>
    </vt:lpwstr>
  </property>
  <property fmtid="{D5CDD505-2E9C-101B-9397-08002B2CF9AE}" pid="21" name="Objective-Protective Marking [system]">
    <vt:lpwstr>
    </vt:lpwstr>
  </property>
  <property fmtid="{D5CDD505-2E9C-101B-9397-08002B2CF9AE}" pid="22" name="Objective-Creators Organisation [system]">
    <vt:lpwstr>The National Archives</vt:lpwstr>
  </property>
  <property fmtid="{D5CDD505-2E9C-101B-9397-08002B2CF9AE}" pid="23" name="Objective-TNA Department [system]">
    <vt:lpwstr>
    </vt:lpwstr>
  </property>
  <property fmtid="{D5CDD505-2E9C-101B-9397-08002B2CF9AE}" pid="24" name="Objective-Sensitive personal data [system]">
    <vt:lpwstr>No</vt:lpwstr>
  </property>
  <property fmtid="{D5CDD505-2E9C-101B-9397-08002B2CF9AE}" pid="25" name="Objective-Disclosed to the data subject [system]">
    <vt:lpwstr>No</vt:lpwstr>
  </property>
  <property fmtid="{D5CDD505-2E9C-101B-9397-08002B2CF9AE}" pid="26" name="Objective-If Yes identify reference [system]">
    <vt:lpwstr>
    </vt:lpwstr>
  </property>
  <property fmtid="{D5CDD505-2E9C-101B-9397-08002B2CF9AE}" pid="27" name="Objective-Disclosable under FOI [system]">
    <vt:lpwstr>Not specified</vt:lpwstr>
  </property>
  <property fmtid="{D5CDD505-2E9C-101B-9397-08002B2CF9AE}" pid="28" name="Objective-FOI exemptions [system]">
    <vt:lpwstr>
    </vt:lpwstr>
  </property>
  <property fmtid="{D5CDD505-2E9C-101B-9397-08002B2CF9AE}" pid="29" name="Objective-Intranet Content [system]">
    <vt:lpwstr>
    </vt:lpwstr>
  </property>
</Properties>
</file>